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15" w:rsidRPr="00664270" w:rsidRDefault="00DE7015" w:rsidP="00DE7015">
      <w:pPr>
        <w:ind w:left="426"/>
        <w:jc w:val="center"/>
        <w:rPr>
          <w:rFonts w:hint="cs"/>
          <w:b/>
          <w:bCs/>
          <w:sz w:val="20"/>
          <w:szCs w:val="20"/>
          <w:rtl/>
        </w:rPr>
      </w:pPr>
      <w:r w:rsidRPr="00664270">
        <w:rPr>
          <w:b/>
          <w:bCs/>
          <w:sz w:val="20"/>
          <w:szCs w:val="20"/>
        </w:rPr>
        <w:t>REPUBLIQUE ALGERIENNE DEMOCRATIQUE ET POPULAIRE</w:t>
      </w:r>
    </w:p>
    <w:p w:rsidR="00DE7015" w:rsidRPr="00664270" w:rsidRDefault="00DE7015" w:rsidP="00DE7015">
      <w:pPr>
        <w:ind w:left="567"/>
        <w:jc w:val="center"/>
        <w:rPr>
          <w:rFonts w:hint="cs"/>
          <w:b/>
          <w:bCs/>
          <w:sz w:val="20"/>
          <w:szCs w:val="20"/>
          <w:rtl/>
        </w:rPr>
      </w:pPr>
      <w:r w:rsidRPr="00664270">
        <w:rPr>
          <w:b/>
          <w:bCs/>
          <w:sz w:val="20"/>
          <w:szCs w:val="20"/>
        </w:rPr>
        <w:t>MINISTERE DE L’ENSEIGNEMENT SUPERIEUR</w:t>
      </w:r>
    </w:p>
    <w:p w:rsidR="00DE7015" w:rsidRPr="00664270" w:rsidRDefault="00DE7015" w:rsidP="00DE7015">
      <w:pPr>
        <w:ind w:left="567"/>
        <w:jc w:val="center"/>
        <w:rPr>
          <w:b/>
          <w:bCs/>
          <w:sz w:val="20"/>
          <w:szCs w:val="20"/>
        </w:rPr>
      </w:pPr>
      <w:r w:rsidRPr="00664270">
        <w:rPr>
          <w:b/>
          <w:bCs/>
          <w:sz w:val="20"/>
          <w:szCs w:val="20"/>
        </w:rPr>
        <w:t>ET DE LA RECHERCHE SCIENTIFIQUE</w:t>
      </w:r>
    </w:p>
    <w:p w:rsidR="00DE7015" w:rsidRPr="00664270" w:rsidRDefault="00DE7015" w:rsidP="00DE7015">
      <w:pPr>
        <w:ind w:left="567" w:right="378"/>
        <w:jc w:val="center"/>
        <w:rPr>
          <w:b/>
          <w:bCs/>
          <w:sz w:val="20"/>
          <w:szCs w:val="20"/>
        </w:rPr>
      </w:pPr>
      <w:r w:rsidRPr="00664270">
        <w:rPr>
          <w:b/>
          <w:bCs/>
          <w:sz w:val="20"/>
          <w:szCs w:val="20"/>
        </w:rPr>
        <w:t>UNIVERSITE IBN KHALDOUN DE TIARET</w:t>
      </w:r>
    </w:p>
    <w:p w:rsidR="00DE7015" w:rsidRPr="00664270" w:rsidRDefault="00DE7015" w:rsidP="00DE7015">
      <w:pPr>
        <w:ind w:left="142"/>
        <w:jc w:val="center"/>
        <w:rPr>
          <w:b/>
          <w:bCs/>
          <w:sz w:val="20"/>
          <w:szCs w:val="20"/>
          <w:lang w:val="en-US"/>
        </w:rPr>
      </w:pPr>
      <w:r w:rsidRPr="00664270">
        <w:rPr>
          <w:b/>
          <w:bCs/>
          <w:sz w:val="20"/>
          <w:szCs w:val="20"/>
          <w:lang w:val="en-US"/>
        </w:rPr>
        <w:t xml:space="preserve">Site </w:t>
      </w:r>
      <w:proofErr w:type="gramStart"/>
      <w:r w:rsidRPr="00664270">
        <w:rPr>
          <w:b/>
          <w:bCs/>
          <w:sz w:val="20"/>
          <w:szCs w:val="20"/>
          <w:lang w:val="en-US"/>
        </w:rPr>
        <w:t>Web :</w:t>
      </w:r>
      <w:proofErr w:type="gramEnd"/>
      <w:r w:rsidRPr="00664270">
        <w:rPr>
          <w:rFonts w:ascii="Courier New" w:hAnsi="Courier New" w:cs="Courier New"/>
          <w:sz w:val="20"/>
          <w:szCs w:val="20"/>
          <w:lang w:val="en-US" w:bidi="ar-DZ"/>
        </w:rPr>
        <w:t xml:space="preserve"> </w:t>
      </w:r>
      <w:r w:rsidRPr="00664270">
        <w:rPr>
          <w:b/>
          <w:bCs/>
          <w:sz w:val="20"/>
          <w:szCs w:val="20"/>
          <w:lang w:val="en-US"/>
        </w:rPr>
        <w:t>www.univ-tiaret.dz</w:t>
      </w:r>
    </w:p>
    <w:p w:rsidR="00DE7015" w:rsidRDefault="00DE7015" w:rsidP="00DE7015">
      <w:pPr>
        <w:ind w:left="142"/>
        <w:jc w:val="center"/>
        <w:rPr>
          <w:b/>
          <w:bCs/>
          <w:sz w:val="20"/>
          <w:szCs w:val="20"/>
        </w:rPr>
      </w:pPr>
      <w:r w:rsidRPr="00664270">
        <w:rPr>
          <w:b/>
          <w:bCs/>
          <w:sz w:val="20"/>
          <w:szCs w:val="20"/>
        </w:rPr>
        <w:t xml:space="preserve">B. P. 78 </w:t>
      </w:r>
      <w:proofErr w:type="spellStart"/>
      <w:r w:rsidRPr="00664270">
        <w:rPr>
          <w:b/>
          <w:bCs/>
          <w:sz w:val="20"/>
          <w:szCs w:val="20"/>
        </w:rPr>
        <w:t>Zaâroura</w:t>
      </w:r>
      <w:proofErr w:type="spellEnd"/>
      <w:r w:rsidRPr="00664270">
        <w:rPr>
          <w:b/>
          <w:bCs/>
          <w:sz w:val="20"/>
          <w:szCs w:val="20"/>
        </w:rPr>
        <w:t xml:space="preserve"> 14000 Tiaret </w:t>
      </w:r>
    </w:p>
    <w:p w:rsidR="00DE7015" w:rsidRPr="00664270" w:rsidRDefault="00DE7015" w:rsidP="00DE7015">
      <w:pPr>
        <w:ind w:left="142"/>
        <w:jc w:val="center"/>
        <w:rPr>
          <w:b/>
          <w:bCs/>
          <w:sz w:val="20"/>
          <w:szCs w:val="20"/>
        </w:rPr>
      </w:pPr>
      <w:r w:rsidRPr="00664270">
        <w:rPr>
          <w:b/>
          <w:bCs/>
          <w:sz w:val="20"/>
          <w:szCs w:val="20"/>
        </w:rPr>
        <w:t>NIF : 412020000140056</w:t>
      </w:r>
    </w:p>
    <w:p w:rsidR="00DE7015" w:rsidRPr="00664270" w:rsidRDefault="00DE7015" w:rsidP="00DE7015">
      <w:pPr>
        <w:ind w:left="567" w:right="378"/>
        <w:jc w:val="center"/>
        <w:rPr>
          <w:b/>
          <w:bCs/>
          <w:sz w:val="20"/>
          <w:szCs w:val="20"/>
        </w:rPr>
      </w:pPr>
      <w:r w:rsidRPr="00664270">
        <w:rPr>
          <w:b/>
          <w:bCs/>
          <w:sz w:val="20"/>
          <w:szCs w:val="20"/>
        </w:rPr>
        <w:t>VICE RECTORAT DU DEVELOPPEMENT,</w:t>
      </w:r>
    </w:p>
    <w:p w:rsidR="00DE7015" w:rsidRDefault="00DE7015" w:rsidP="00DE7015">
      <w:pPr>
        <w:ind w:left="567" w:right="378"/>
        <w:jc w:val="center"/>
        <w:rPr>
          <w:b/>
          <w:bCs/>
          <w:sz w:val="20"/>
          <w:szCs w:val="20"/>
        </w:rPr>
      </w:pPr>
      <w:r w:rsidRPr="00664270">
        <w:rPr>
          <w:b/>
          <w:bCs/>
          <w:sz w:val="20"/>
          <w:szCs w:val="20"/>
        </w:rPr>
        <w:t>DE LA PROSPECTIVE ET DE L’ORIENTATION</w:t>
      </w:r>
    </w:p>
    <w:p w:rsidR="00DE7015" w:rsidRPr="00971BCD" w:rsidRDefault="00DE7015" w:rsidP="00DE7015">
      <w:pPr>
        <w:jc w:val="center"/>
        <w:rPr>
          <w:b/>
          <w:bCs/>
          <w:sz w:val="18"/>
          <w:szCs w:val="18"/>
        </w:rPr>
      </w:pPr>
    </w:p>
    <w:p w:rsidR="00DE7015" w:rsidRPr="00971BCD" w:rsidRDefault="00DE7015" w:rsidP="00DE7015">
      <w:pPr>
        <w:rPr>
          <w:b/>
          <w:bCs/>
          <w:sz w:val="18"/>
          <w:szCs w:val="18"/>
        </w:rPr>
      </w:pPr>
    </w:p>
    <w:p w:rsidR="00DE7015" w:rsidRPr="00F36798" w:rsidRDefault="00DE7015" w:rsidP="00DE7015">
      <w:pPr>
        <w:jc w:val="center"/>
        <w:rPr>
          <w:b/>
          <w:bCs/>
          <w:sz w:val="22"/>
          <w:szCs w:val="22"/>
        </w:rPr>
      </w:pPr>
      <w:r>
        <w:rPr>
          <w:b/>
          <w:bCs/>
          <w:sz w:val="22"/>
          <w:szCs w:val="22"/>
        </w:rPr>
        <w:t>AVIS DE CONSULTATION</w:t>
      </w:r>
    </w:p>
    <w:p w:rsidR="00DE7015" w:rsidRPr="00F36798" w:rsidRDefault="00DE7015" w:rsidP="00DE7015">
      <w:pPr>
        <w:jc w:val="center"/>
        <w:rPr>
          <w:b/>
          <w:bCs/>
          <w:sz w:val="22"/>
          <w:szCs w:val="22"/>
        </w:rPr>
      </w:pPr>
      <w:r>
        <w:rPr>
          <w:b/>
          <w:bCs/>
          <w:sz w:val="22"/>
          <w:szCs w:val="22"/>
        </w:rPr>
        <w:t>N° 0</w:t>
      </w:r>
      <w:r>
        <w:rPr>
          <w:rFonts w:hint="cs"/>
          <w:b/>
          <w:bCs/>
          <w:sz w:val="22"/>
          <w:szCs w:val="22"/>
          <w:rtl/>
        </w:rPr>
        <w:t>2</w:t>
      </w:r>
      <w:r w:rsidRPr="00F36798">
        <w:rPr>
          <w:b/>
          <w:bCs/>
          <w:sz w:val="22"/>
          <w:szCs w:val="22"/>
        </w:rPr>
        <w:t>/UIKT/201</w:t>
      </w:r>
      <w:r>
        <w:rPr>
          <w:rFonts w:hint="cs"/>
          <w:b/>
          <w:bCs/>
          <w:sz w:val="22"/>
          <w:szCs w:val="22"/>
          <w:rtl/>
        </w:rPr>
        <w:t>5</w:t>
      </w:r>
    </w:p>
    <w:p w:rsidR="00DE7015" w:rsidRPr="00971BCD" w:rsidRDefault="00DE7015" w:rsidP="00DE7015">
      <w:pPr>
        <w:ind w:right="-142"/>
        <w:jc w:val="both"/>
        <w:rPr>
          <w:sz w:val="18"/>
          <w:szCs w:val="18"/>
        </w:rPr>
      </w:pPr>
    </w:p>
    <w:p w:rsidR="00DE7015" w:rsidRPr="006A24C4" w:rsidRDefault="00DE7015" w:rsidP="00DE7015">
      <w:pPr>
        <w:ind w:right="-142"/>
        <w:jc w:val="both"/>
        <w:rPr>
          <w:sz w:val="20"/>
          <w:szCs w:val="20"/>
        </w:rPr>
      </w:pPr>
      <w:r w:rsidRPr="00851D65">
        <w:rPr>
          <w:sz w:val="20"/>
          <w:szCs w:val="20"/>
        </w:rPr>
        <w:t xml:space="preserve">L’Université Ibn </w:t>
      </w:r>
      <w:proofErr w:type="spellStart"/>
      <w:r w:rsidRPr="00851D65">
        <w:rPr>
          <w:sz w:val="20"/>
          <w:szCs w:val="20"/>
        </w:rPr>
        <w:t>Khaldoun</w:t>
      </w:r>
      <w:proofErr w:type="spellEnd"/>
      <w:r w:rsidRPr="00851D65">
        <w:rPr>
          <w:sz w:val="20"/>
          <w:szCs w:val="20"/>
        </w:rPr>
        <w:t xml:space="preserve"> de Tiaret lance, dans le cadre du budget </w:t>
      </w:r>
      <w:r>
        <w:rPr>
          <w:sz w:val="20"/>
          <w:szCs w:val="20"/>
        </w:rPr>
        <w:t>de recherche scientifique</w:t>
      </w:r>
      <w:r w:rsidRPr="00851D65">
        <w:rPr>
          <w:sz w:val="20"/>
          <w:szCs w:val="20"/>
        </w:rPr>
        <w:t>, u</w:t>
      </w:r>
      <w:r>
        <w:rPr>
          <w:sz w:val="20"/>
          <w:szCs w:val="20"/>
        </w:rPr>
        <w:t xml:space="preserve">n avis de consultation </w:t>
      </w:r>
      <w:r w:rsidRPr="00851D65">
        <w:rPr>
          <w:sz w:val="20"/>
          <w:szCs w:val="20"/>
        </w:rPr>
        <w:t xml:space="preserve">pour </w:t>
      </w:r>
      <w:r>
        <w:rPr>
          <w:rFonts w:hint="cs"/>
          <w:sz w:val="20"/>
          <w:szCs w:val="20"/>
          <w:rtl/>
        </w:rPr>
        <w:t xml:space="preserve"> </w:t>
      </w:r>
      <w:r w:rsidRPr="006A24C4">
        <w:rPr>
          <w:sz w:val="20"/>
          <w:szCs w:val="20"/>
        </w:rPr>
        <w:t xml:space="preserve">acquisition des équipements scientifiques au profit du laboratoire de recherche, reproduction des Animaux de la Ferme de l’Université Ibn </w:t>
      </w:r>
      <w:proofErr w:type="spellStart"/>
      <w:r w:rsidRPr="006A24C4">
        <w:rPr>
          <w:sz w:val="20"/>
          <w:szCs w:val="20"/>
        </w:rPr>
        <w:t>Khaldoun</w:t>
      </w:r>
      <w:proofErr w:type="spellEnd"/>
      <w:r w:rsidRPr="006A24C4">
        <w:rPr>
          <w:sz w:val="20"/>
          <w:szCs w:val="20"/>
        </w:rPr>
        <w:t xml:space="preserve"> de Tiaret,</w:t>
      </w:r>
    </w:p>
    <w:p w:rsidR="00DE7015" w:rsidRDefault="00DE7015" w:rsidP="00DE7015">
      <w:pPr>
        <w:ind w:right="-142"/>
        <w:jc w:val="both"/>
        <w:rPr>
          <w:sz w:val="20"/>
          <w:szCs w:val="20"/>
        </w:rPr>
      </w:pPr>
      <w:r w:rsidRPr="00851D65">
        <w:rPr>
          <w:sz w:val="20"/>
          <w:szCs w:val="20"/>
        </w:rPr>
        <w:t>Ces équipe</w:t>
      </w:r>
      <w:r>
        <w:rPr>
          <w:sz w:val="20"/>
          <w:szCs w:val="20"/>
        </w:rPr>
        <w:t xml:space="preserve">ments sont regroupés en un (01)  seul </w:t>
      </w:r>
      <w:r w:rsidRPr="00851D65">
        <w:rPr>
          <w:sz w:val="20"/>
          <w:szCs w:val="20"/>
        </w:rPr>
        <w:t>lot</w:t>
      </w:r>
      <w:r>
        <w:rPr>
          <w:sz w:val="20"/>
          <w:szCs w:val="20"/>
        </w:rPr>
        <w:t xml:space="preserve"> comme suit</w:t>
      </w:r>
      <w:r w:rsidRPr="00851D65">
        <w:rPr>
          <w:sz w:val="20"/>
          <w:szCs w:val="20"/>
        </w:rPr>
        <w:t> :</w:t>
      </w:r>
      <w:r>
        <w:rPr>
          <w:sz w:val="20"/>
          <w:szCs w:val="20"/>
        </w:rPr>
        <w:t>&lt;/</w:t>
      </w:r>
      <w:proofErr w:type="spellStart"/>
      <w:r>
        <w:rPr>
          <w:sz w:val="20"/>
          <w:szCs w:val="20"/>
        </w:rPr>
        <w:t>br</w:t>
      </w:r>
      <w:proofErr w:type="spellEnd"/>
      <w:r>
        <w:rPr>
          <w:sz w:val="20"/>
          <w:szCs w:val="20"/>
        </w:rPr>
        <w:t>&gt;</w:t>
      </w:r>
    </w:p>
    <w:p w:rsidR="00DE7015" w:rsidRPr="008F51DC" w:rsidRDefault="00DE7015" w:rsidP="00DE7015">
      <w:pPr>
        <w:ind w:right="-2"/>
        <w:jc w:val="center"/>
        <w:rPr>
          <w:b/>
          <w:bCs/>
          <w:sz w:val="20"/>
          <w:szCs w:val="20"/>
        </w:rPr>
      </w:pPr>
      <w:r>
        <w:rPr>
          <w:b/>
          <w:bCs/>
          <w:sz w:val="20"/>
          <w:szCs w:val="20"/>
        </w:rPr>
        <w:t xml:space="preserve">Lot unique : </w:t>
      </w:r>
      <w:r w:rsidRPr="008F51DC">
        <w:rPr>
          <w:b/>
          <w:bCs/>
          <w:sz w:val="20"/>
          <w:szCs w:val="20"/>
        </w:rPr>
        <w:t xml:space="preserve">équipement </w:t>
      </w:r>
      <w:r>
        <w:rPr>
          <w:b/>
          <w:bCs/>
          <w:sz w:val="20"/>
          <w:szCs w:val="20"/>
        </w:rPr>
        <w:t>de diagnostic et d’analyse</w:t>
      </w:r>
      <w:r w:rsidRPr="008F51DC">
        <w:rPr>
          <w:b/>
          <w:bCs/>
          <w:sz w:val="20"/>
          <w:szCs w:val="20"/>
        </w:rPr>
        <w:t>.</w:t>
      </w:r>
      <w:r w:rsidRPr="00876A91">
        <w:rPr>
          <w:sz w:val="20"/>
          <w:szCs w:val="20"/>
        </w:rPr>
        <w:t xml:space="preserve"> </w:t>
      </w:r>
      <w:r>
        <w:rPr>
          <w:sz w:val="20"/>
          <w:szCs w:val="20"/>
        </w:rPr>
        <w:t>&lt;/</w:t>
      </w:r>
      <w:proofErr w:type="spellStart"/>
      <w:proofErr w:type="gramStart"/>
      <w:r>
        <w:rPr>
          <w:sz w:val="20"/>
          <w:szCs w:val="20"/>
        </w:rPr>
        <w:t>br</w:t>
      </w:r>
      <w:proofErr w:type="spellEnd"/>
      <w:proofErr w:type="gramEnd"/>
      <w:r>
        <w:rPr>
          <w:sz w:val="20"/>
          <w:szCs w:val="20"/>
        </w:rPr>
        <w:t>&gt;&lt;/</w:t>
      </w:r>
      <w:proofErr w:type="spellStart"/>
      <w:r>
        <w:rPr>
          <w:sz w:val="20"/>
          <w:szCs w:val="20"/>
        </w:rPr>
        <w:t>br</w:t>
      </w:r>
      <w:proofErr w:type="spellEnd"/>
      <w:r>
        <w:rPr>
          <w:sz w:val="20"/>
          <w:szCs w:val="20"/>
        </w:rPr>
        <w:t>&gt;</w:t>
      </w:r>
    </w:p>
    <w:p w:rsidR="00DE7015" w:rsidRPr="00851D65" w:rsidRDefault="00DE7015" w:rsidP="00DE7015">
      <w:pPr>
        <w:ind w:right="-142"/>
        <w:jc w:val="both"/>
        <w:rPr>
          <w:sz w:val="20"/>
          <w:szCs w:val="20"/>
        </w:rPr>
      </w:pPr>
      <w:r w:rsidRPr="00851D65">
        <w:rPr>
          <w:sz w:val="20"/>
          <w:szCs w:val="20"/>
        </w:rPr>
        <w:t xml:space="preserve">Les </w:t>
      </w:r>
      <w:r>
        <w:rPr>
          <w:sz w:val="20"/>
          <w:szCs w:val="20"/>
        </w:rPr>
        <w:t xml:space="preserve">soumissionnaires </w:t>
      </w:r>
      <w:r w:rsidRPr="00851D65">
        <w:rPr>
          <w:sz w:val="20"/>
          <w:szCs w:val="20"/>
        </w:rPr>
        <w:t xml:space="preserve"> intéressés par cet avis peuvent retirer le cahier des charges </w:t>
      </w:r>
      <w:r>
        <w:rPr>
          <w:sz w:val="20"/>
          <w:szCs w:val="20"/>
        </w:rPr>
        <w:t>auprès du</w:t>
      </w:r>
      <w:r w:rsidRPr="00851D65">
        <w:rPr>
          <w:sz w:val="20"/>
          <w:szCs w:val="20"/>
        </w:rPr>
        <w:t xml:space="preserve"> </w:t>
      </w:r>
      <w:r>
        <w:rPr>
          <w:sz w:val="20"/>
          <w:szCs w:val="20"/>
        </w:rPr>
        <w:t xml:space="preserve">Vice rectorat du développement, de la prospective et de l’orientation de </w:t>
      </w:r>
      <w:r w:rsidRPr="00851D65">
        <w:rPr>
          <w:sz w:val="20"/>
          <w:szCs w:val="20"/>
        </w:rPr>
        <w:t xml:space="preserve">l’Université Ibn </w:t>
      </w:r>
      <w:proofErr w:type="spellStart"/>
      <w:r w:rsidRPr="00851D65">
        <w:rPr>
          <w:sz w:val="20"/>
          <w:szCs w:val="20"/>
        </w:rPr>
        <w:t>Khaldoun</w:t>
      </w:r>
      <w:proofErr w:type="spellEnd"/>
      <w:r w:rsidRPr="00851D65">
        <w:rPr>
          <w:sz w:val="20"/>
          <w:szCs w:val="20"/>
        </w:rPr>
        <w:t xml:space="preserve"> de </w:t>
      </w:r>
      <w:proofErr w:type="gramStart"/>
      <w:r w:rsidRPr="00851D65">
        <w:rPr>
          <w:sz w:val="20"/>
          <w:szCs w:val="20"/>
        </w:rPr>
        <w:t>Tiaret</w:t>
      </w:r>
      <w:r>
        <w:rPr>
          <w:sz w:val="20"/>
          <w:szCs w:val="20"/>
        </w:rPr>
        <w:t xml:space="preserve"> </w:t>
      </w:r>
      <w:r w:rsidRPr="00851D65">
        <w:rPr>
          <w:sz w:val="20"/>
          <w:szCs w:val="20"/>
        </w:rPr>
        <w:t>.</w:t>
      </w:r>
      <w:proofErr w:type="gramEnd"/>
      <w:r w:rsidRPr="00876A91">
        <w:rPr>
          <w:sz w:val="20"/>
          <w:szCs w:val="20"/>
        </w:rPr>
        <w:t xml:space="preserve"> </w:t>
      </w:r>
      <w:r>
        <w:rPr>
          <w:sz w:val="20"/>
          <w:szCs w:val="20"/>
        </w:rPr>
        <w:t>&lt;/</w:t>
      </w:r>
      <w:proofErr w:type="spellStart"/>
      <w:proofErr w:type="gramStart"/>
      <w:r>
        <w:rPr>
          <w:sz w:val="20"/>
          <w:szCs w:val="20"/>
        </w:rPr>
        <w:t>br</w:t>
      </w:r>
      <w:proofErr w:type="spellEnd"/>
      <w:proofErr w:type="gramEnd"/>
      <w:r>
        <w:rPr>
          <w:sz w:val="20"/>
          <w:szCs w:val="20"/>
        </w:rPr>
        <w:t>&gt;&lt;/</w:t>
      </w:r>
      <w:proofErr w:type="spellStart"/>
      <w:r>
        <w:rPr>
          <w:sz w:val="20"/>
          <w:szCs w:val="20"/>
        </w:rPr>
        <w:t>br</w:t>
      </w:r>
      <w:proofErr w:type="spellEnd"/>
      <w:r>
        <w:rPr>
          <w:sz w:val="20"/>
          <w:szCs w:val="20"/>
        </w:rPr>
        <w:t>&gt;</w:t>
      </w:r>
    </w:p>
    <w:p w:rsidR="00DE7015" w:rsidRPr="00851D65" w:rsidRDefault="00DE7015" w:rsidP="00DE7015">
      <w:pPr>
        <w:ind w:right="-142"/>
        <w:jc w:val="both"/>
        <w:rPr>
          <w:sz w:val="20"/>
          <w:szCs w:val="20"/>
        </w:rPr>
      </w:pPr>
      <w:r w:rsidRPr="00851D65">
        <w:rPr>
          <w:sz w:val="20"/>
          <w:szCs w:val="20"/>
        </w:rPr>
        <w:t xml:space="preserve">Les modalités de présentation des offres (offre technique et offre financière) sont décrites dans le cahier des charges. Ces offres, insérées séparément </w:t>
      </w:r>
      <w:r>
        <w:rPr>
          <w:sz w:val="20"/>
          <w:szCs w:val="20"/>
        </w:rPr>
        <w:t xml:space="preserve"> </w:t>
      </w:r>
      <w:r w:rsidRPr="00851D65">
        <w:rPr>
          <w:sz w:val="20"/>
          <w:szCs w:val="20"/>
        </w:rPr>
        <w:t>dans deux enveloppes fermées (A) et (B) portant respectivement les mentions « Offre technique » et « Offre financière », doivent être contenues dans un pli fermé et anonyme portant la mention suivante :</w:t>
      </w:r>
      <w:r w:rsidRPr="00876A91">
        <w:rPr>
          <w:sz w:val="20"/>
          <w:szCs w:val="20"/>
        </w:rPr>
        <w:t xml:space="preserve"> </w:t>
      </w:r>
      <w:r>
        <w:rPr>
          <w:sz w:val="20"/>
          <w:szCs w:val="20"/>
        </w:rPr>
        <w:t>&lt;/</w:t>
      </w:r>
      <w:proofErr w:type="spellStart"/>
      <w:r>
        <w:rPr>
          <w:sz w:val="20"/>
          <w:szCs w:val="20"/>
        </w:rPr>
        <w:t>br</w:t>
      </w:r>
      <w:proofErr w:type="spellEnd"/>
      <w:r>
        <w:rPr>
          <w:sz w:val="20"/>
          <w:szCs w:val="20"/>
        </w:rPr>
        <w:t>&gt;&lt;/</w:t>
      </w:r>
      <w:proofErr w:type="spellStart"/>
      <w:r>
        <w:rPr>
          <w:sz w:val="20"/>
          <w:szCs w:val="20"/>
        </w:rPr>
        <w:t>br</w:t>
      </w:r>
      <w:proofErr w:type="spellEnd"/>
      <w:r>
        <w:rPr>
          <w:sz w:val="20"/>
          <w:szCs w:val="20"/>
        </w:rPr>
        <w:t>&gt;</w:t>
      </w:r>
    </w:p>
    <w:p w:rsidR="00DE7015" w:rsidRPr="00A44241" w:rsidRDefault="00DE7015" w:rsidP="00DE7015">
      <w:pPr>
        <w:jc w:val="both"/>
        <w:rPr>
          <w:sz w:val="18"/>
          <w:szCs w:val="18"/>
        </w:rPr>
      </w:pPr>
      <w:r w:rsidRPr="00A44241">
        <w:rPr>
          <w:sz w:val="18"/>
          <w:szCs w:val="18"/>
        </w:rPr>
        <w:t xml:space="preserve"> </w:t>
      </w:r>
    </w:p>
    <w:p w:rsidR="00DE7015" w:rsidRPr="00A44241" w:rsidRDefault="00DE7015" w:rsidP="00DE7015">
      <w:pPr>
        <w:jc w:val="center"/>
        <w:rPr>
          <w:b/>
          <w:bCs/>
          <w:sz w:val="20"/>
          <w:szCs w:val="20"/>
        </w:rPr>
      </w:pPr>
      <w:r>
        <w:rPr>
          <w:b/>
          <w:bCs/>
          <w:sz w:val="20"/>
          <w:szCs w:val="20"/>
        </w:rPr>
        <w:t>Avis de consultation N° 0</w:t>
      </w:r>
      <w:r>
        <w:rPr>
          <w:rFonts w:hint="cs"/>
          <w:b/>
          <w:bCs/>
          <w:sz w:val="20"/>
          <w:szCs w:val="20"/>
          <w:rtl/>
        </w:rPr>
        <w:t>2</w:t>
      </w:r>
      <w:r w:rsidRPr="00A44241">
        <w:rPr>
          <w:b/>
          <w:bCs/>
          <w:sz w:val="20"/>
          <w:szCs w:val="20"/>
        </w:rPr>
        <w:t>/UIKT/201</w:t>
      </w:r>
      <w:r>
        <w:rPr>
          <w:b/>
          <w:bCs/>
          <w:sz w:val="20"/>
          <w:szCs w:val="20"/>
        </w:rPr>
        <w:t>5</w:t>
      </w:r>
      <w:r>
        <w:rPr>
          <w:sz w:val="20"/>
          <w:szCs w:val="20"/>
        </w:rPr>
        <w:t>&lt;/</w:t>
      </w:r>
      <w:proofErr w:type="spellStart"/>
      <w:r>
        <w:rPr>
          <w:sz w:val="20"/>
          <w:szCs w:val="20"/>
        </w:rPr>
        <w:t>br</w:t>
      </w:r>
      <w:proofErr w:type="spellEnd"/>
      <w:r>
        <w:rPr>
          <w:sz w:val="20"/>
          <w:szCs w:val="20"/>
        </w:rPr>
        <w:t>&gt;</w:t>
      </w:r>
    </w:p>
    <w:p w:rsidR="00DE7015" w:rsidRDefault="00DE7015" w:rsidP="00DE7015">
      <w:pPr>
        <w:ind w:right="-142"/>
        <w:jc w:val="center"/>
        <w:rPr>
          <w:b/>
          <w:bCs/>
          <w:sz w:val="20"/>
          <w:szCs w:val="20"/>
          <w:lang/>
        </w:rPr>
      </w:pPr>
      <w:r w:rsidRPr="006A24C4">
        <w:rPr>
          <w:b/>
          <w:bCs/>
          <w:sz w:val="20"/>
          <w:szCs w:val="20"/>
          <w:lang/>
        </w:rPr>
        <w:t>Acquisition des équipements scientifiques au profit du laboratoire de recherche</w:t>
      </w:r>
      <w:r>
        <w:rPr>
          <w:sz w:val="20"/>
          <w:szCs w:val="20"/>
        </w:rPr>
        <w:t>&lt;/</w:t>
      </w:r>
      <w:proofErr w:type="spellStart"/>
      <w:r>
        <w:rPr>
          <w:sz w:val="20"/>
          <w:szCs w:val="20"/>
        </w:rPr>
        <w:t>br</w:t>
      </w:r>
      <w:proofErr w:type="spellEnd"/>
      <w:r>
        <w:rPr>
          <w:sz w:val="20"/>
          <w:szCs w:val="20"/>
        </w:rPr>
        <w:t>&gt;</w:t>
      </w:r>
    </w:p>
    <w:p w:rsidR="00DE7015" w:rsidRPr="006A24C4" w:rsidRDefault="00DE7015" w:rsidP="00DE7015">
      <w:pPr>
        <w:ind w:right="-142"/>
        <w:jc w:val="center"/>
        <w:rPr>
          <w:b/>
          <w:bCs/>
          <w:sz w:val="20"/>
          <w:szCs w:val="20"/>
          <w:lang/>
        </w:rPr>
      </w:pPr>
      <w:r w:rsidRPr="006A24C4">
        <w:rPr>
          <w:b/>
          <w:bCs/>
          <w:sz w:val="20"/>
          <w:szCs w:val="20"/>
          <w:lang/>
        </w:rPr>
        <w:t xml:space="preserve"> Reproduction des Animaux de la Ferme de l’Université Ibn </w:t>
      </w:r>
      <w:proofErr w:type="spellStart"/>
      <w:r w:rsidRPr="006A24C4">
        <w:rPr>
          <w:b/>
          <w:bCs/>
          <w:sz w:val="20"/>
          <w:szCs w:val="20"/>
          <w:lang/>
        </w:rPr>
        <w:t>Khaldoun</w:t>
      </w:r>
      <w:proofErr w:type="spellEnd"/>
      <w:r w:rsidRPr="006A24C4">
        <w:rPr>
          <w:b/>
          <w:bCs/>
          <w:sz w:val="20"/>
          <w:szCs w:val="20"/>
          <w:lang/>
        </w:rPr>
        <w:t xml:space="preserve"> de Tiaret,</w:t>
      </w:r>
      <w:r w:rsidRPr="00876A91">
        <w:rPr>
          <w:sz w:val="20"/>
          <w:szCs w:val="20"/>
        </w:rPr>
        <w:t xml:space="preserve"> </w:t>
      </w:r>
      <w:r>
        <w:rPr>
          <w:sz w:val="20"/>
          <w:szCs w:val="20"/>
        </w:rPr>
        <w:t>&lt;/</w:t>
      </w:r>
      <w:proofErr w:type="spellStart"/>
      <w:r>
        <w:rPr>
          <w:sz w:val="20"/>
          <w:szCs w:val="20"/>
        </w:rPr>
        <w:t>br</w:t>
      </w:r>
      <w:proofErr w:type="spellEnd"/>
      <w:r>
        <w:rPr>
          <w:sz w:val="20"/>
          <w:szCs w:val="20"/>
        </w:rPr>
        <w:t>&gt;</w:t>
      </w:r>
    </w:p>
    <w:p w:rsidR="00DE7015" w:rsidRPr="00A44241" w:rsidRDefault="00DE7015" w:rsidP="00DE7015">
      <w:pPr>
        <w:jc w:val="center"/>
        <w:rPr>
          <w:b/>
          <w:bCs/>
          <w:sz w:val="20"/>
          <w:szCs w:val="20"/>
        </w:rPr>
      </w:pPr>
      <w:r w:rsidRPr="00A44241">
        <w:rPr>
          <w:b/>
          <w:bCs/>
          <w:sz w:val="20"/>
          <w:szCs w:val="20"/>
        </w:rPr>
        <w:t>« À ne pas ouvrir »</w:t>
      </w:r>
      <w:r w:rsidRPr="00876A91">
        <w:rPr>
          <w:sz w:val="20"/>
          <w:szCs w:val="20"/>
        </w:rPr>
        <w:t xml:space="preserve"> </w:t>
      </w:r>
      <w:r>
        <w:rPr>
          <w:sz w:val="20"/>
          <w:szCs w:val="20"/>
        </w:rPr>
        <w:t>&lt;/</w:t>
      </w:r>
      <w:proofErr w:type="spellStart"/>
      <w:r>
        <w:rPr>
          <w:sz w:val="20"/>
          <w:szCs w:val="20"/>
        </w:rPr>
        <w:t>br</w:t>
      </w:r>
      <w:proofErr w:type="spellEnd"/>
      <w:r>
        <w:rPr>
          <w:sz w:val="20"/>
          <w:szCs w:val="20"/>
        </w:rPr>
        <w:t>&gt;&lt;/</w:t>
      </w:r>
      <w:proofErr w:type="spellStart"/>
      <w:r>
        <w:rPr>
          <w:sz w:val="20"/>
          <w:szCs w:val="20"/>
        </w:rPr>
        <w:t>br</w:t>
      </w:r>
      <w:proofErr w:type="spellEnd"/>
      <w:r>
        <w:rPr>
          <w:sz w:val="20"/>
          <w:szCs w:val="20"/>
        </w:rPr>
        <w:t>&gt;</w:t>
      </w:r>
    </w:p>
    <w:p w:rsidR="00DE7015" w:rsidRPr="00A44241" w:rsidRDefault="00DE7015" w:rsidP="00DE7015">
      <w:pPr>
        <w:jc w:val="both"/>
        <w:rPr>
          <w:sz w:val="18"/>
          <w:szCs w:val="18"/>
        </w:rPr>
      </w:pPr>
    </w:p>
    <w:p w:rsidR="00DE7015" w:rsidRPr="00851D65" w:rsidRDefault="00DE7015" w:rsidP="00DE7015">
      <w:pPr>
        <w:jc w:val="both"/>
        <w:rPr>
          <w:sz w:val="20"/>
          <w:szCs w:val="20"/>
        </w:rPr>
      </w:pPr>
      <w:r w:rsidRPr="00851D65">
        <w:rPr>
          <w:sz w:val="20"/>
          <w:szCs w:val="20"/>
        </w:rPr>
        <w:t xml:space="preserve">L’enveloppe (A) </w:t>
      </w:r>
      <w:r w:rsidRPr="00851D65">
        <w:rPr>
          <w:b/>
          <w:bCs/>
          <w:sz w:val="20"/>
          <w:szCs w:val="20"/>
        </w:rPr>
        <w:t>« Offre technique »</w:t>
      </w:r>
      <w:r w:rsidRPr="00851D65">
        <w:rPr>
          <w:sz w:val="20"/>
          <w:szCs w:val="20"/>
        </w:rPr>
        <w:t xml:space="preserve"> doit contenir  les documents suivants : </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9568"/>
      </w:tblGrid>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01</w:t>
            </w:r>
          </w:p>
        </w:tc>
        <w:tc>
          <w:tcPr>
            <w:tcW w:w="9568" w:type="dxa"/>
            <w:vAlign w:val="center"/>
          </w:tcPr>
          <w:p w:rsidR="00DE7015" w:rsidRPr="00BB3093" w:rsidRDefault="00DE7015" w:rsidP="00AD6E57">
            <w:pPr>
              <w:jc w:val="both"/>
              <w:rPr>
                <w:sz w:val="20"/>
                <w:szCs w:val="20"/>
              </w:rPr>
            </w:pPr>
            <w:r w:rsidRPr="00BB3093">
              <w:rPr>
                <w:sz w:val="20"/>
                <w:szCs w:val="20"/>
              </w:rPr>
              <w:t>Le statut de la société.</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02</w:t>
            </w:r>
          </w:p>
        </w:tc>
        <w:tc>
          <w:tcPr>
            <w:tcW w:w="9568" w:type="dxa"/>
          </w:tcPr>
          <w:p w:rsidR="00DE7015" w:rsidRPr="00BB3093" w:rsidRDefault="00DE7015" w:rsidP="00AD6E57">
            <w:pPr>
              <w:spacing w:line="276" w:lineRule="auto"/>
              <w:rPr>
                <w:sz w:val="20"/>
                <w:szCs w:val="20"/>
              </w:rPr>
            </w:pPr>
            <w:r w:rsidRPr="00BB3093">
              <w:rPr>
                <w:sz w:val="20"/>
                <w:szCs w:val="20"/>
              </w:rPr>
              <w:t>Le cahier des charges (CCAG, CPS et CPT) coté et paraphé sur chaque page dûment renseignée.</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03</w:t>
            </w:r>
          </w:p>
        </w:tc>
        <w:tc>
          <w:tcPr>
            <w:tcW w:w="9568" w:type="dxa"/>
          </w:tcPr>
          <w:p w:rsidR="00DE7015" w:rsidRPr="00BB3093" w:rsidRDefault="00DE7015" w:rsidP="00AD6E57">
            <w:pPr>
              <w:spacing w:line="276" w:lineRule="auto"/>
              <w:rPr>
                <w:sz w:val="20"/>
                <w:szCs w:val="20"/>
              </w:rPr>
            </w:pPr>
            <w:r w:rsidRPr="00BB3093">
              <w:rPr>
                <w:sz w:val="20"/>
                <w:szCs w:val="20"/>
              </w:rPr>
              <w:t>La déclaration à souscrire dûment renseignée, signée, datée et établie selon le modèle ci-joint.</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04</w:t>
            </w:r>
          </w:p>
        </w:tc>
        <w:tc>
          <w:tcPr>
            <w:tcW w:w="9568" w:type="dxa"/>
          </w:tcPr>
          <w:p w:rsidR="00DE7015" w:rsidRPr="00BB3093" w:rsidRDefault="00DE7015" w:rsidP="00AD6E57">
            <w:pPr>
              <w:spacing w:line="276" w:lineRule="auto"/>
              <w:rPr>
                <w:sz w:val="20"/>
                <w:szCs w:val="20"/>
              </w:rPr>
            </w:pPr>
            <w:r w:rsidRPr="00BB3093">
              <w:rPr>
                <w:sz w:val="20"/>
                <w:szCs w:val="20"/>
              </w:rPr>
              <w:t>La déclaration de probité dûment renseignée, signée, datée et établie selon le modèle ci-joint.</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05</w:t>
            </w:r>
          </w:p>
        </w:tc>
        <w:tc>
          <w:tcPr>
            <w:tcW w:w="9568" w:type="dxa"/>
          </w:tcPr>
          <w:p w:rsidR="00DE7015" w:rsidRPr="00BB3093" w:rsidRDefault="00DE7015" w:rsidP="00AD6E57">
            <w:pPr>
              <w:spacing w:line="276" w:lineRule="auto"/>
              <w:rPr>
                <w:sz w:val="20"/>
                <w:szCs w:val="20"/>
              </w:rPr>
            </w:pPr>
            <w:r w:rsidRPr="00BB3093">
              <w:rPr>
                <w:sz w:val="20"/>
                <w:szCs w:val="20"/>
              </w:rPr>
              <w:t>Copie de l’attestation de dépôt des comptes sociaux pour les personnes morales.</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06</w:t>
            </w:r>
          </w:p>
        </w:tc>
        <w:tc>
          <w:tcPr>
            <w:tcW w:w="9568" w:type="dxa"/>
          </w:tcPr>
          <w:p w:rsidR="00DE7015" w:rsidRPr="00BB3093" w:rsidRDefault="00DE7015" w:rsidP="00AD6E57">
            <w:pPr>
              <w:spacing w:line="276" w:lineRule="auto"/>
              <w:rPr>
                <w:sz w:val="20"/>
                <w:szCs w:val="20"/>
              </w:rPr>
            </w:pPr>
            <w:r w:rsidRPr="00BB3093">
              <w:rPr>
                <w:sz w:val="20"/>
                <w:szCs w:val="20"/>
              </w:rPr>
              <w:t>L’état de renseignements selon le modèle ci-joint, dûment renseigné et signé.</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07</w:t>
            </w:r>
          </w:p>
        </w:tc>
        <w:tc>
          <w:tcPr>
            <w:tcW w:w="9568" w:type="dxa"/>
          </w:tcPr>
          <w:p w:rsidR="00DE7015" w:rsidRPr="00BB3093" w:rsidRDefault="00DE7015" w:rsidP="00AD6E57">
            <w:pPr>
              <w:spacing w:line="276" w:lineRule="auto"/>
              <w:rPr>
                <w:sz w:val="20"/>
                <w:szCs w:val="20"/>
              </w:rPr>
            </w:pPr>
            <w:r w:rsidRPr="00BB3093">
              <w:rPr>
                <w:sz w:val="20"/>
                <w:szCs w:val="20"/>
              </w:rPr>
              <w:t>L’extrait du casier judiciaire moins de trois mois (original ou copie) du signataire de la soumission.</w:t>
            </w:r>
          </w:p>
        </w:tc>
      </w:tr>
      <w:tr w:rsidR="00DE7015" w:rsidRPr="00CB513E" w:rsidTr="00AD6E57">
        <w:trPr>
          <w:trHeight w:val="90"/>
          <w:jc w:val="center"/>
        </w:trPr>
        <w:tc>
          <w:tcPr>
            <w:tcW w:w="622" w:type="dxa"/>
            <w:vAlign w:val="center"/>
          </w:tcPr>
          <w:p w:rsidR="00DE7015" w:rsidRPr="00BB3093" w:rsidRDefault="00DE7015" w:rsidP="00AD6E57">
            <w:pPr>
              <w:jc w:val="center"/>
              <w:rPr>
                <w:sz w:val="20"/>
                <w:szCs w:val="20"/>
              </w:rPr>
            </w:pPr>
            <w:r w:rsidRPr="00BB3093">
              <w:rPr>
                <w:sz w:val="20"/>
                <w:szCs w:val="20"/>
              </w:rPr>
              <w:t>08</w:t>
            </w:r>
          </w:p>
        </w:tc>
        <w:tc>
          <w:tcPr>
            <w:tcW w:w="9568" w:type="dxa"/>
          </w:tcPr>
          <w:p w:rsidR="00DE7015" w:rsidRPr="00BB3093" w:rsidRDefault="00DE7015" w:rsidP="00AD6E57">
            <w:pPr>
              <w:spacing w:line="276" w:lineRule="auto"/>
              <w:rPr>
                <w:sz w:val="20"/>
                <w:szCs w:val="20"/>
              </w:rPr>
            </w:pPr>
            <w:r w:rsidRPr="00BB3093">
              <w:rPr>
                <w:sz w:val="20"/>
                <w:szCs w:val="20"/>
              </w:rPr>
              <w:t>Copie du statut de l’entreprise pour les personnes morales.</w:t>
            </w:r>
          </w:p>
        </w:tc>
      </w:tr>
      <w:tr w:rsidR="00DE7015" w:rsidRPr="00CB513E" w:rsidTr="00AD6E57">
        <w:trPr>
          <w:trHeight w:val="90"/>
          <w:jc w:val="center"/>
        </w:trPr>
        <w:tc>
          <w:tcPr>
            <w:tcW w:w="622" w:type="dxa"/>
            <w:vAlign w:val="center"/>
          </w:tcPr>
          <w:p w:rsidR="00DE7015" w:rsidRPr="00BB3093" w:rsidRDefault="00DE7015" w:rsidP="00AD6E57">
            <w:pPr>
              <w:jc w:val="center"/>
              <w:rPr>
                <w:sz w:val="20"/>
                <w:szCs w:val="20"/>
              </w:rPr>
            </w:pPr>
            <w:r w:rsidRPr="00BB3093">
              <w:rPr>
                <w:sz w:val="20"/>
                <w:szCs w:val="20"/>
              </w:rPr>
              <w:t>09</w:t>
            </w:r>
          </w:p>
        </w:tc>
        <w:tc>
          <w:tcPr>
            <w:tcW w:w="9568" w:type="dxa"/>
          </w:tcPr>
          <w:p w:rsidR="00DE7015" w:rsidRPr="00BB3093" w:rsidRDefault="00DE7015" w:rsidP="00AD6E57">
            <w:pPr>
              <w:spacing w:line="276" w:lineRule="auto"/>
              <w:jc w:val="both"/>
              <w:rPr>
                <w:sz w:val="20"/>
                <w:szCs w:val="20"/>
              </w:rPr>
            </w:pPr>
            <w:r w:rsidRPr="00BB3093">
              <w:rPr>
                <w:sz w:val="20"/>
                <w:szCs w:val="20"/>
              </w:rPr>
              <w:t>Copie du registre de commerce du soumissionnaire.</w:t>
            </w:r>
          </w:p>
          <w:p w:rsidR="00DE7015" w:rsidRPr="00BB3093" w:rsidRDefault="00DE7015" w:rsidP="00AD6E57">
            <w:pPr>
              <w:spacing w:line="276" w:lineRule="auto"/>
              <w:jc w:val="both"/>
              <w:rPr>
                <w:sz w:val="20"/>
                <w:szCs w:val="20"/>
              </w:rPr>
            </w:pPr>
            <w:r w:rsidRPr="00BB3093">
              <w:rPr>
                <w:sz w:val="20"/>
                <w:szCs w:val="20"/>
              </w:rPr>
              <w:t>L’activité inscrite sur le registre de commerce doit correspondre aux prestations demandées.</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10</w:t>
            </w:r>
          </w:p>
        </w:tc>
        <w:tc>
          <w:tcPr>
            <w:tcW w:w="9568" w:type="dxa"/>
          </w:tcPr>
          <w:p w:rsidR="00DE7015" w:rsidRPr="00BB3093" w:rsidRDefault="00DE7015" w:rsidP="00AD6E57">
            <w:pPr>
              <w:spacing w:line="276" w:lineRule="auto"/>
              <w:rPr>
                <w:sz w:val="20"/>
                <w:szCs w:val="20"/>
              </w:rPr>
            </w:pPr>
            <w:r w:rsidRPr="00BB3093">
              <w:rPr>
                <w:sz w:val="20"/>
                <w:szCs w:val="20"/>
              </w:rPr>
              <w:t>Copie du Numéro d’Identification Statistique (NIS).</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11</w:t>
            </w:r>
          </w:p>
        </w:tc>
        <w:tc>
          <w:tcPr>
            <w:tcW w:w="9568" w:type="dxa"/>
          </w:tcPr>
          <w:p w:rsidR="00DE7015" w:rsidRPr="00BB3093" w:rsidRDefault="00DE7015" w:rsidP="00AD6E57">
            <w:pPr>
              <w:spacing w:line="276" w:lineRule="auto"/>
              <w:rPr>
                <w:sz w:val="20"/>
                <w:szCs w:val="20"/>
              </w:rPr>
            </w:pPr>
            <w:r w:rsidRPr="00BB3093">
              <w:rPr>
                <w:sz w:val="20"/>
                <w:szCs w:val="20"/>
              </w:rPr>
              <w:t>L’extrait de rôles (original ou copie) apuré, ou à défaut avec échéancier du paiement.</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12</w:t>
            </w:r>
          </w:p>
        </w:tc>
        <w:tc>
          <w:tcPr>
            <w:tcW w:w="9568" w:type="dxa"/>
          </w:tcPr>
          <w:p w:rsidR="00DE7015" w:rsidRPr="00BB3093" w:rsidRDefault="00DE7015" w:rsidP="00AD6E57">
            <w:pPr>
              <w:spacing w:line="276" w:lineRule="auto"/>
              <w:rPr>
                <w:sz w:val="20"/>
                <w:szCs w:val="20"/>
              </w:rPr>
            </w:pPr>
            <w:r w:rsidRPr="00BB3093">
              <w:rPr>
                <w:sz w:val="20"/>
                <w:szCs w:val="20"/>
              </w:rPr>
              <w:t>Copie du Numéro d’Identification Fiscale (NIF).</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13</w:t>
            </w:r>
          </w:p>
        </w:tc>
        <w:tc>
          <w:tcPr>
            <w:tcW w:w="9568" w:type="dxa"/>
          </w:tcPr>
          <w:p w:rsidR="00DE7015" w:rsidRPr="00BB3093" w:rsidRDefault="00DE7015" w:rsidP="00AD6E57">
            <w:pPr>
              <w:spacing w:line="276" w:lineRule="auto"/>
              <w:rPr>
                <w:sz w:val="20"/>
                <w:szCs w:val="20"/>
              </w:rPr>
            </w:pPr>
            <w:r w:rsidRPr="00BB3093">
              <w:rPr>
                <w:sz w:val="20"/>
                <w:szCs w:val="20"/>
              </w:rPr>
              <w:t>Copie des  attestations de mise à jour CNAS et CASNOS en cours de validité.</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14</w:t>
            </w:r>
          </w:p>
        </w:tc>
        <w:tc>
          <w:tcPr>
            <w:tcW w:w="9568" w:type="dxa"/>
          </w:tcPr>
          <w:p w:rsidR="00DE7015" w:rsidRPr="00BB3093" w:rsidRDefault="00DE7015" w:rsidP="00AD6E57">
            <w:pPr>
              <w:spacing w:line="276" w:lineRule="auto"/>
              <w:rPr>
                <w:sz w:val="20"/>
                <w:szCs w:val="20"/>
              </w:rPr>
            </w:pPr>
            <w:r w:rsidRPr="00BB3093">
              <w:rPr>
                <w:sz w:val="20"/>
                <w:szCs w:val="20"/>
              </w:rPr>
              <w:t>Copie des bilans financiers des trois (03) dernières années.</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15</w:t>
            </w:r>
          </w:p>
        </w:tc>
        <w:tc>
          <w:tcPr>
            <w:tcW w:w="9568" w:type="dxa"/>
          </w:tcPr>
          <w:p w:rsidR="00DE7015" w:rsidRPr="00BB3093" w:rsidRDefault="00DE7015" w:rsidP="00AD6E57">
            <w:pPr>
              <w:spacing w:line="276" w:lineRule="auto"/>
              <w:jc w:val="both"/>
              <w:rPr>
                <w:sz w:val="20"/>
                <w:szCs w:val="20"/>
              </w:rPr>
            </w:pPr>
            <w:r w:rsidRPr="00BB3093">
              <w:rPr>
                <w:sz w:val="20"/>
                <w:szCs w:val="20"/>
              </w:rPr>
              <w:t>Les délais (de livraison, d’installation et de mise en service) dûment justifiés par un planning soigneusement établi conformément au présent cahier des charges.</w:t>
            </w:r>
          </w:p>
        </w:tc>
      </w:tr>
      <w:tr w:rsidR="00DE7015" w:rsidRPr="00CB513E" w:rsidTr="00AD6E57">
        <w:trPr>
          <w:jc w:val="center"/>
        </w:trPr>
        <w:tc>
          <w:tcPr>
            <w:tcW w:w="622" w:type="dxa"/>
            <w:vAlign w:val="center"/>
          </w:tcPr>
          <w:p w:rsidR="00DE7015" w:rsidRPr="00BB3093" w:rsidRDefault="00DE7015" w:rsidP="00AD6E57">
            <w:pPr>
              <w:jc w:val="center"/>
              <w:rPr>
                <w:sz w:val="20"/>
                <w:szCs w:val="20"/>
              </w:rPr>
            </w:pPr>
            <w:r w:rsidRPr="00BB3093">
              <w:rPr>
                <w:sz w:val="20"/>
                <w:szCs w:val="20"/>
              </w:rPr>
              <w:t>16</w:t>
            </w:r>
          </w:p>
        </w:tc>
        <w:tc>
          <w:tcPr>
            <w:tcW w:w="9568" w:type="dxa"/>
          </w:tcPr>
          <w:p w:rsidR="00DE7015" w:rsidRPr="00BB3093" w:rsidRDefault="00DE7015" w:rsidP="00AD6E57">
            <w:pPr>
              <w:spacing w:line="276" w:lineRule="auto"/>
              <w:jc w:val="both"/>
              <w:rPr>
                <w:sz w:val="20"/>
                <w:szCs w:val="20"/>
              </w:rPr>
            </w:pPr>
            <w:r w:rsidRPr="00BB3093">
              <w:rPr>
                <w:sz w:val="20"/>
                <w:szCs w:val="20"/>
              </w:rPr>
              <w:t>La description précise de l’objet des prestations demandées ou de toutes exigences y compris les spécifications techniques, la certification de conformité et les normes auxquelles les produits ou services doivent satisfaire ainsi que, le cas échéant, les plans, dessins et instructions nécessaires.</w:t>
            </w:r>
          </w:p>
        </w:tc>
      </w:tr>
      <w:tr w:rsidR="00DE7015" w:rsidRPr="00CB513E" w:rsidTr="00AD6E57">
        <w:trPr>
          <w:trHeight w:val="209"/>
          <w:jc w:val="center"/>
        </w:trPr>
        <w:tc>
          <w:tcPr>
            <w:tcW w:w="622" w:type="dxa"/>
            <w:vAlign w:val="center"/>
          </w:tcPr>
          <w:p w:rsidR="00DE7015" w:rsidRPr="00BB3093" w:rsidRDefault="00DE7015" w:rsidP="00AD6E57">
            <w:pPr>
              <w:jc w:val="center"/>
              <w:rPr>
                <w:sz w:val="20"/>
                <w:szCs w:val="20"/>
              </w:rPr>
            </w:pPr>
            <w:r w:rsidRPr="00BB3093">
              <w:rPr>
                <w:sz w:val="20"/>
                <w:szCs w:val="20"/>
              </w:rPr>
              <w:t>17</w:t>
            </w:r>
          </w:p>
        </w:tc>
        <w:tc>
          <w:tcPr>
            <w:tcW w:w="9568" w:type="dxa"/>
          </w:tcPr>
          <w:p w:rsidR="00DE7015" w:rsidRPr="00BB3093" w:rsidRDefault="00DE7015" w:rsidP="00AD6E57">
            <w:pPr>
              <w:spacing w:line="276" w:lineRule="auto"/>
              <w:rPr>
                <w:sz w:val="20"/>
                <w:szCs w:val="20"/>
              </w:rPr>
            </w:pPr>
            <w:r w:rsidRPr="00BB3093">
              <w:rPr>
                <w:sz w:val="20"/>
                <w:szCs w:val="20"/>
              </w:rPr>
              <w:t>Copie des références professionnelles, appuyées d’attestations de bonne exécution.</w:t>
            </w:r>
          </w:p>
        </w:tc>
      </w:tr>
      <w:tr w:rsidR="00DE7015" w:rsidRPr="00CB513E" w:rsidTr="00AD6E57">
        <w:trPr>
          <w:trHeight w:val="209"/>
          <w:jc w:val="center"/>
        </w:trPr>
        <w:tc>
          <w:tcPr>
            <w:tcW w:w="622" w:type="dxa"/>
            <w:vAlign w:val="center"/>
          </w:tcPr>
          <w:p w:rsidR="00DE7015" w:rsidRPr="00BB3093" w:rsidRDefault="00DE7015" w:rsidP="00AD6E57">
            <w:pPr>
              <w:jc w:val="center"/>
              <w:rPr>
                <w:sz w:val="20"/>
                <w:szCs w:val="20"/>
              </w:rPr>
            </w:pPr>
            <w:r w:rsidRPr="00BB3093">
              <w:rPr>
                <w:sz w:val="20"/>
                <w:szCs w:val="20"/>
              </w:rPr>
              <w:t>18</w:t>
            </w:r>
          </w:p>
        </w:tc>
        <w:tc>
          <w:tcPr>
            <w:tcW w:w="9568" w:type="dxa"/>
          </w:tcPr>
          <w:p w:rsidR="00DE7015" w:rsidRPr="00BB3093" w:rsidRDefault="00DE7015" w:rsidP="00AD6E57">
            <w:pPr>
              <w:spacing w:line="276" w:lineRule="auto"/>
              <w:rPr>
                <w:sz w:val="20"/>
                <w:szCs w:val="20"/>
              </w:rPr>
            </w:pPr>
            <w:r w:rsidRPr="00BB3093">
              <w:rPr>
                <w:sz w:val="20"/>
                <w:szCs w:val="20"/>
              </w:rPr>
              <w:t>Garantie technique proposée et service après vente.</w:t>
            </w:r>
          </w:p>
        </w:tc>
      </w:tr>
    </w:tbl>
    <w:p w:rsidR="00DE7015" w:rsidRDefault="00DE7015" w:rsidP="00DE7015">
      <w:pPr>
        <w:jc w:val="both"/>
        <w:rPr>
          <w:sz w:val="20"/>
          <w:szCs w:val="20"/>
        </w:rPr>
      </w:pPr>
      <w:r w:rsidRPr="00851D65">
        <w:rPr>
          <w:sz w:val="20"/>
          <w:szCs w:val="20"/>
        </w:rPr>
        <w:t xml:space="preserve">L’enveloppe </w:t>
      </w:r>
      <w:r>
        <w:rPr>
          <w:sz w:val="20"/>
          <w:szCs w:val="20"/>
        </w:rPr>
        <w:t xml:space="preserve">(B) </w:t>
      </w:r>
      <w:r w:rsidRPr="00851D65">
        <w:rPr>
          <w:b/>
          <w:bCs/>
          <w:sz w:val="20"/>
          <w:szCs w:val="20"/>
        </w:rPr>
        <w:t>« Offre financière »</w:t>
      </w:r>
      <w:r w:rsidRPr="00851D65">
        <w:rPr>
          <w:sz w:val="20"/>
          <w:szCs w:val="20"/>
        </w:rPr>
        <w:t xml:space="preserve"> doit contenir  les pièces suivantes :</w:t>
      </w:r>
    </w:p>
    <w:p w:rsidR="00DE7015" w:rsidRPr="00851D65" w:rsidRDefault="00DE7015" w:rsidP="00DE7015">
      <w:pPr>
        <w:ind w:firstLine="708"/>
        <w:rPr>
          <w:sz w:val="20"/>
          <w:szCs w:val="20"/>
        </w:rPr>
      </w:pPr>
      <w:r w:rsidRPr="00851D65">
        <w:rPr>
          <w:sz w:val="20"/>
          <w:szCs w:val="20"/>
        </w:rPr>
        <w:t>- La lettre de soumission dûment renseignée datée, signée et visée.</w:t>
      </w:r>
    </w:p>
    <w:p w:rsidR="00DE7015" w:rsidRPr="00851D65" w:rsidRDefault="00DE7015" w:rsidP="00DE7015">
      <w:pPr>
        <w:ind w:firstLine="708"/>
        <w:rPr>
          <w:sz w:val="20"/>
          <w:szCs w:val="20"/>
        </w:rPr>
      </w:pPr>
      <w:r w:rsidRPr="00851D65">
        <w:rPr>
          <w:sz w:val="20"/>
          <w:szCs w:val="20"/>
        </w:rPr>
        <w:t>- Le bordereau des prix unitaires daté, signé et visé,</w:t>
      </w:r>
    </w:p>
    <w:p w:rsidR="00DE7015" w:rsidRPr="00851D65" w:rsidRDefault="00DE7015" w:rsidP="00DE7015">
      <w:pPr>
        <w:ind w:firstLine="708"/>
        <w:rPr>
          <w:sz w:val="20"/>
          <w:szCs w:val="20"/>
        </w:rPr>
      </w:pPr>
      <w:r w:rsidRPr="00851D65">
        <w:rPr>
          <w:sz w:val="20"/>
          <w:szCs w:val="20"/>
        </w:rPr>
        <w:t>- Le devis quantitatif et estimatif</w:t>
      </w:r>
      <w:r>
        <w:rPr>
          <w:sz w:val="20"/>
          <w:szCs w:val="20"/>
        </w:rPr>
        <w:t xml:space="preserve"> daté</w:t>
      </w:r>
      <w:r w:rsidRPr="00851D65">
        <w:rPr>
          <w:sz w:val="20"/>
          <w:szCs w:val="20"/>
        </w:rPr>
        <w:t>,</w:t>
      </w:r>
      <w:r>
        <w:rPr>
          <w:sz w:val="20"/>
          <w:szCs w:val="20"/>
        </w:rPr>
        <w:t xml:space="preserve"> signé et visé</w:t>
      </w:r>
      <w:r w:rsidRPr="00851D65">
        <w:rPr>
          <w:sz w:val="20"/>
          <w:szCs w:val="20"/>
        </w:rPr>
        <w:t>,</w:t>
      </w:r>
    </w:p>
    <w:p w:rsidR="00340643" w:rsidRDefault="00DE7015" w:rsidP="00DE7015">
      <w:pPr>
        <w:autoSpaceDE w:val="0"/>
        <w:autoSpaceDN w:val="0"/>
        <w:adjustRightInd w:val="0"/>
        <w:jc w:val="both"/>
      </w:pPr>
      <w:r>
        <w:rPr>
          <w:sz w:val="20"/>
          <w:szCs w:val="20"/>
        </w:rPr>
        <w:t xml:space="preserve">Le délai limite accordé aux soumissionnaires pour la préparation de leurs offres est fixé à </w:t>
      </w:r>
      <w:r>
        <w:rPr>
          <w:b/>
          <w:bCs/>
          <w:sz w:val="20"/>
          <w:szCs w:val="20"/>
        </w:rPr>
        <w:t>quinze</w:t>
      </w:r>
      <w:r w:rsidRPr="007531F7">
        <w:rPr>
          <w:b/>
          <w:bCs/>
          <w:sz w:val="20"/>
          <w:szCs w:val="20"/>
        </w:rPr>
        <w:t xml:space="preserve"> (1</w:t>
      </w:r>
      <w:r>
        <w:rPr>
          <w:b/>
          <w:bCs/>
          <w:sz w:val="20"/>
          <w:szCs w:val="20"/>
        </w:rPr>
        <w:t>5</w:t>
      </w:r>
      <w:r w:rsidRPr="007531F7">
        <w:rPr>
          <w:b/>
          <w:bCs/>
          <w:sz w:val="20"/>
          <w:szCs w:val="20"/>
        </w:rPr>
        <w:t>) jours</w:t>
      </w:r>
      <w:r>
        <w:rPr>
          <w:sz w:val="20"/>
          <w:szCs w:val="20"/>
        </w:rPr>
        <w:t xml:space="preserve">  à partir de la date d’affichage de l’avis de consultation.</w:t>
      </w:r>
      <w:r w:rsidRPr="00851D65">
        <w:rPr>
          <w:sz w:val="20"/>
          <w:szCs w:val="20"/>
        </w:rPr>
        <w:t xml:space="preserve"> Le dépôt des offres se fera</w:t>
      </w:r>
      <w:r>
        <w:rPr>
          <w:sz w:val="20"/>
          <w:szCs w:val="20"/>
        </w:rPr>
        <w:t xml:space="preserve"> au dernier jour de la durée de préparation des offres </w:t>
      </w:r>
      <w:r w:rsidRPr="00851D65">
        <w:rPr>
          <w:sz w:val="20"/>
          <w:szCs w:val="20"/>
        </w:rPr>
        <w:t xml:space="preserve"> le </w:t>
      </w:r>
      <w:r>
        <w:rPr>
          <w:b/>
          <w:bCs/>
          <w:sz w:val="20"/>
          <w:szCs w:val="20"/>
        </w:rPr>
        <w:t>16</w:t>
      </w:r>
      <w:r w:rsidRPr="00D22613">
        <w:rPr>
          <w:b/>
          <w:bCs/>
          <w:sz w:val="20"/>
          <w:szCs w:val="20"/>
        </w:rPr>
        <w:t xml:space="preserve"> Juin 2015</w:t>
      </w:r>
      <w:r w:rsidRPr="00D22613">
        <w:rPr>
          <w:sz w:val="20"/>
          <w:szCs w:val="20"/>
        </w:rPr>
        <w:t xml:space="preserve"> </w:t>
      </w:r>
      <w:r w:rsidRPr="00851D65">
        <w:rPr>
          <w:sz w:val="20"/>
          <w:szCs w:val="20"/>
        </w:rPr>
        <w:t xml:space="preserve">au plus tard </w:t>
      </w:r>
      <w:r>
        <w:rPr>
          <w:sz w:val="20"/>
          <w:szCs w:val="20"/>
        </w:rPr>
        <w:t>à</w:t>
      </w:r>
      <w:r w:rsidRPr="00851D65">
        <w:rPr>
          <w:sz w:val="20"/>
          <w:szCs w:val="20"/>
        </w:rPr>
        <w:t xml:space="preserve"> </w:t>
      </w:r>
      <w:r w:rsidRPr="00851D65">
        <w:rPr>
          <w:b/>
          <w:bCs/>
          <w:sz w:val="20"/>
          <w:szCs w:val="20"/>
        </w:rPr>
        <w:t>1</w:t>
      </w:r>
      <w:r>
        <w:rPr>
          <w:b/>
          <w:bCs/>
          <w:sz w:val="20"/>
          <w:szCs w:val="20"/>
        </w:rPr>
        <w:t>4</w:t>
      </w:r>
      <w:r w:rsidRPr="00851D65">
        <w:rPr>
          <w:b/>
          <w:bCs/>
          <w:sz w:val="20"/>
          <w:szCs w:val="20"/>
        </w:rPr>
        <w:t>h 00</w:t>
      </w:r>
      <w:r w:rsidRPr="00851D65">
        <w:rPr>
          <w:sz w:val="20"/>
          <w:szCs w:val="20"/>
        </w:rPr>
        <w:t xml:space="preserve"> au niveau du Vice Rectorat du Développement, de la Prospective et de l’Orientation de l’Université Ibn </w:t>
      </w:r>
      <w:proofErr w:type="spellStart"/>
      <w:r w:rsidRPr="00851D65">
        <w:rPr>
          <w:sz w:val="20"/>
          <w:szCs w:val="20"/>
        </w:rPr>
        <w:t>Khaldoun</w:t>
      </w:r>
      <w:proofErr w:type="spellEnd"/>
      <w:r w:rsidRPr="00851D65">
        <w:rPr>
          <w:sz w:val="20"/>
          <w:szCs w:val="20"/>
        </w:rPr>
        <w:t xml:space="preserve"> de Tiaret. Les soumissionnaires sont cordialement invités à assister à la séance d’ouverture des plis qui aura lieu le même jour à </w:t>
      </w:r>
      <w:r w:rsidRPr="00851D65">
        <w:rPr>
          <w:b/>
          <w:bCs/>
          <w:sz w:val="20"/>
          <w:szCs w:val="20"/>
        </w:rPr>
        <w:t>14h 00</w:t>
      </w:r>
      <w:r w:rsidRPr="00851D65">
        <w:rPr>
          <w:sz w:val="20"/>
          <w:szCs w:val="20"/>
        </w:rPr>
        <w:t xml:space="preserve"> et au même lieu du dépôt des offres. Les offres incomplètes ou non conformes aux spécifications du cahier des charges sont considérées comme nulles et rejetées par la commission compétente. Les offres sont valables durant la période de leur préparation et y resteront valables pour un délai de </w:t>
      </w:r>
      <w:r w:rsidRPr="00F33CC2">
        <w:rPr>
          <w:b/>
          <w:bCs/>
          <w:sz w:val="20"/>
          <w:szCs w:val="20"/>
        </w:rPr>
        <w:t>cent</w:t>
      </w:r>
      <w:r>
        <w:rPr>
          <w:b/>
          <w:bCs/>
          <w:sz w:val="20"/>
          <w:szCs w:val="20"/>
        </w:rPr>
        <w:t xml:space="preserve"> cinq</w:t>
      </w:r>
      <w:r w:rsidRPr="00F33CC2">
        <w:rPr>
          <w:b/>
          <w:bCs/>
          <w:sz w:val="20"/>
          <w:szCs w:val="20"/>
        </w:rPr>
        <w:t xml:space="preserve"> (10</w:t>
      </w:r>
      <w:r>
        <w:rPr>
          <w:b/>
          <w:bCs/>
          <w:sz w:val="20"/>
          <w:szCs w:val="20"/>
        </w:rPr>
        <w:t>5</w:t>
      </w:r>
      <w:r w:rsidRPr="00F33CC2">
        <w:rPr>
          <w:b/>
          <w:bCs/>
          <w:sz w:val="20"/>
          <w:szCs w:val="20"/>
        </w:rPr>
        <w:t>) jours</w:t>
      </w:r>
      <w:r>
        <w:rPr>
          <w:b/>
          <w:bCs/>
          <w:sz w:val="20"/>
          <w:szCs w:val="20"/>
        </w:rPr>
        <w:t>.</w:t>
      </w:r>
    </w:p>
    <w:sectPr w:rsidR="00340643" w:rsidSect="00DE7015">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7015"/>
    <w:rsid w:val="00112BFB"/>
    <w:rsid w:val="00340643"/>
    <w:rsid w:val="00DE7015"/>
    <w:rsid w:val="00F813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1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3847</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Djillali</dc:creator>
  <cp:lastModifiedBy>Djillali</cp:lastModifiedBy>
  <cp:revision>1</cp:revision>
  <dcterms:created xsi:type="dcterms:W3CDTF">2015-06-02T08:33:00Z</dcterms:created>
  <dcterms:modified xsi:type="dcterms:W3CDTF">2015-06-02T08:35:00Z</dcterms:modified>
</cp:coreProperties>
</file>