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BDC" w:rsidRDefault="00E43BDC" w:rsidP="00540CBD">
      <w:pPr>
        <w:ind w:left="426"/>
        <w:jc w:val="center"/>
        <w:rPr>
          <w:b/>
          <w:bCs/>
          <w:sz w:val="20"/>
          <w:szCs w:val="20"/>
        </w:rPr>
      </w:pPr>
    </w:p>
    <w:p w:rsidR="00540CBD" w:rsidRPr="00664270" w:rsidRDefault="00540CBD" w:rsidP="00540CBD">
      <w:pPr>
        <w:ind w:left="426"/>
        <w:jc w:val="center"/>
        <w:rPr>
          <w:b/>
          <w:bCs/>
          <w:sz w:val="20"/>
          <w:szCs w:val="20"/>
          <w:rtl/>
        </w:rPr>
      </w:pPr>
      <w:r w:rsidRPr="00664270">
        <w:rPr>
          <w:b/>
          <w:bCs/>
          <w:sz w:val="20"/>
          <w:szCs w:val="20"/>
        </w:rPr>
        <w:t>REPUBLIQUE ALGERIENNE DEMOCRATIQUE ET POPULAIRE</w:t>
      </w:r>
    </w:p>
    <w:p w:rsidR="00540CBD" w:rsidRPr="00664270" w:rsidRDefault="00540CBD" w:rsidP="00540CBD">
      <w:pPr>
        <w:ind w:left="567"/>
        <w:jc w:val="center"/>
        <w:rPr>
          <w:b/>
          <w:bCs/>
          <w:sz w:val="20"/>
          <w:szCs w:val="20"/>
          <w:rtl/>
        </w:rPr>
      </w:pPr>
      <w:r w:rsidRPr="00664270">
        <w:rPr>
          <w:b/>
          <w:bCs/>
          <w:sz w:val="20"/>
          <w:szCs w:val="20"/>
        </w:rPr>
        <w:t>MINISTERE DE L’ENSEIGNEMENT SUPERIEUR</w:t>
      </w:r>
    </w:p>
    <w:p w:rsidR="00540CBD" w:rsidRPr="00664270" w:rsidRDefault="00540CBD" w:rsidP="00540CBD">
      <w:pPr>
        <w:ind w:left="567"/>
        <w:jc w:val="center"/>
        <w:rPr>
          <w:b/>
          <w:bCs/>
          <w:sz w:val="20"/>
          <w:szCs w:val="20"/>
        </w:rPr>
      </w:pPr>
      <w:r w:rsidRPr="00664270">
        <w:rPr>
          <w:b/>
          <w:bCs/>
          <w:sz w:val="20"/>
          <w:szCs w:val="20"/>
        </w:rPr>
        <w:t>ET DE LA RECHERCHE SCIENTIFIQUE</w:t>
      </w:r>
    </w:p>
    <w:p w:rsidR="00540CBD" w:rsidRPr="00664270" w:rsidRDefault="00540CBD" w:rsidP="00540CBD">
      <w:pPr>
        <w:ind w:left="567" w:right="378"/>
        <w:jc w:val="center"/>
        <w:rPr>
          <w:b/>
          <w:bCs/>
          <w:sz w:val="20"/>
          <w:szCs w:val="20"/>
        </w:rPr>
      </w:pPr>
      <w:r w:rsidRPr="00664270">
        <w:rPr>
          <w:b/>
          <w:bCs/>
          <w:sz w:val="20"/>
          <w:szCs w:val="20"/>
        </w:rPr>
        <w:t>UNIVERSITE IBN KHALDOUN DE TIARET</w:t>
      </w:r>
    </w:p>
    <w:p w:rsidR="00540CBD" w:rsidRPr="00664270" w:rsidRDefault="00540CBD" w:rsidP="00540CBD">
      <w:pPr>
        <w:ind w:left="142"/>
        <w:jc w:val="center"/>
        <w:rPr>
          <w:b/>
          <w:bCs/>
          <w:sz w:val="20"/>
          <w:szCs w:val="20"/>
          <w:lang w:val="en-US"/>
        </w:rPr>
      </w:pPr>
      <w:r w:rsidRPr="00664270">
        <w:rPr>
          <w:b/>
          <w:bCs/>
          <w:sz w:val="20"/>
          <w:szCs w:val="20"/>
          <w:lang w:val="en-US"/>
        </w:rPr>
        <w:t xml:space="preserve">Site </w:t>
      </w:r>
      <w:proofErr w:type="gramStart"/>
      <w:r w:rsidRPr="00664270">
        <w:rPr>
          <w:b/>
          <w:bCs/>
          <w:sz w:val="20"/>
          <w:szCs w:val="20"/>
          <w:lang w:val="en-US"/>
        </w:rPr>
        <w:t>Web :</w:t>
      </w:r>
      <w:proofErr w:type="gramEnd"/>
      <w:r w:rsidRPr="00664270">
        <w:rPr>
          <w:rFonts w:ascii="Courier New" w:hAnsi="Courier New" w:cs="Courier New"/>
          <w:sz w:val="20"/>
          <w:szCs w:val="20"/>
          <w:lang w:val="en-US" w:bidi="ar-DZ"/>
        </w:rPr>
        <w:t xml:space="preserve"> </w:t>
      </w:r>
      <w:r w:rsidRPr="00664270">
        <w:rPr>
          <w:b/>
          <w:bCs/>
          <w:sz w:val="20"/>
          <w:szCs w:val="20"/>
          <w:lang w:val="en-US"/>
        </w:rPr>
        <w:t>www.univ-tiaret.dz</w:t>
      </w:r>
    </w:p>
    <w:p w:rsidR="00540CBD" w:rsidRPr="00664270" w:rsidRDefault="00540CBD" w:rsidP="00540CBD">
      <w:pPr>
        <w:ind w:left="142"/>
        <w:jc w:val="center"/>
        <w:rPr>
          <w:b/>
          <w:bCs/>
          <w:sz w:val="20"/>
          <w:szCs w:val="20"/>
        </w:rPr>
      </w:pPr>
      <w:r w:rsidRPr="00664270">
        <w:rPr>
          <w:b/>
          <w:bCs/>
          <w:sz w:val="20"/>
          <w:szCs w:val="20"/>
        </w:rPr>
        <w:t>B. P. 78</w:t>
      </w:r>
      <w:r>
        <w:rPr>
          <w:b/>
          <w:bCs/>
          <w:sz w:val="20"/>
          <w:szCs w:val="20"/>
        </w:rPr>
        <w:t>, face place de l’A.L.N route d’ALGER</w:t>
      </w:r>
      <w:r w:rsidRPr="00664270">
        <w:rPr>
          <w:b/>
          <w:bCs/>
          <w:sz w:val="20"/>
          <w:szCs w:val="20"/>
        </w:rPr>
        <w:t xml:space="preserve"> 14000 Tiaret</w:t>
      </w:r>
    </w:p>
    <w:p w:rsidR="00540CBD" w:rsidRPr="00664270" w:rsidRDefault="00540CBD" w:rsidP="00540CBD">
      <w:pPr>
        <w:ind w:left="142"/>
        <w:jc w:val="center"/>
        <w:rPr>
          <w:b/>
          <w:bCs/>
          <w:sz w:val="20"/>
          <w:szCs w:val="20"/>
        </w:rPr>
      </w:pPr>
      <w:r w:rsidRPr="00664270">
        <w:rPr>
          <w:b/>
          <w:bCs/>
          <w:sz w:val="20"/>
          <w:szCs w:val="20"/>
        </w:rPr>
        <w:t>NIF : 412020000140056</w:t>
      </w:r>
    </w:p>
    <w:p w:rsidR="00540CBD" w:rsidRPr="00664270" w:rsidRDefault="00540CBD" w:rsidP="00540CBD">
      <w:pPr>
        <w:ind w:left="567" w:right="378"/>
        <w:jc w:val="center"/>
        <w:rPr>
          <w:b/>
          <w:bCs/>
          <w:sz w:val="20"/>
          <w:szCs w:val="20"/>
        </w:rPr>
      </w:pPr>
      <w:r w:rsidRPr="00664270">
        <w:rPr>
          <w:b/>
          <w:bCs/>
          <w:sz w:val="20"/>
          <w:szCs w:val="20"/>
        </w:rPr>
        <w:t>VICE RECTORAT DU DEVELOPPEMENT,</w:t>
      </w:r>
    </w:p>
    <w:p w:rsidR="00540CBD" w:rsidRDefault="00540CBD" w:rsidP="00540CBD">
      <w:pPr>
        <w:ind w:left="567" w:right="378"/>
        <w:jc w:val="center"/>
        <w:rPr>
          <w:b/>
          <w:bCs/>
          <w:sz w:val="20"/>
          <w:szCs w:val="20"/>
        </w:rPr>
      </w:pPr>
      <w:r w:rsidRPr="00664270">
        <w:rPr>
          <w:b/>
          <w:bCs/>
          <w:sz w:val="20"/>
          <w:szCs w:val="20"/>
        </w:rPr>
        <w:t>DE LA PROSPECTIVE ET DE L’ORIENTATION</w:t>
      </w:r>
    </w:p>
    <w:p w:rsidR="00540CBD" w:rsidRPr="00971BCD" w:rsidRDefault="00540CBD" w:rsidP="00540CBD">
      <w:pPr>
        <w:jc w:val="center"/>
        <w:rPr>
          <w:b/>
          <w:bCs/>
          <w:sz w:val="18"/>
          <w:szCs w:val="18"/>
        </w:rPr>
      </w:pPr>
    </w:p>
    <w:p w:rsidR="00540CBD" w:rsidRPr="00F36798" w:rsidRDefault="00540CBD" w:rsidP="003A55E3">
      <w:pPr>
        <w:jc w:val="center"/>
        <w:rPr>
          <w:b/>
          <w:bCs/>
          <w:sz w:val="22"/>
          <w:szCs w:val="22"/>
        </w:rPr>
      </w:pPr>
      <w:r>
        <w:rPr>
          <w:b/>
          <w:bCs/>
          <w:sz w:val="22"/>
          <w:szCs w:val="22"/>
        </w:rPr>
        <w:t>AVIS DE CONSULTATION N° 0</w:t>
      </w:r>
      <w:r w:rsidR="003A55E3">
        <w:rPr>
          <w:b/>
          <w:bCs/>
          <w:sz w:val="22"/>
          <w:szCs w:val="22"/>
        </w:rPr>
        <w:t>6</w:t>
      </w:r>
      <w:r w:rsidRPr="00F36798">
        <w:rPr>
          <w:b/>
          <w:bCs/>
          <w:sz w:val="22"/>
          <w:szCs w:val="22"/>
        </w:rPr>
        <w:t>/UIKT/201</w:t>
      </w:r>
      <w:r>
        <w:rPr>
          <w:b/>
          <w:bCs/>
          <w:sz w:val="22"/>
          <w:szCs w:val="22"/>
        </w:rPr>
        <w:t>5</w:t>
      </w:r>
    </w:p>
    <w:p w:rsidR="00315E52" w:rsidRPr="00A44241" w:rsidRDefault="00540CBD" w:rsidP="006745E7">
      <w:pPr>
        <w:jc w:val="center"/>
        <w:rPr>
          <w:b/>
          <w:bCs/>
          <w:sz w:val="20"/>
          <w:szCs w:val="20"/>
        </w:rPr>
      </w:pPr>
      <w:r w:rsidRPr="00851D65">
        <w:rPr>
          <w:sz w:val="20"/>
          <w:szCs w:val="20"/>
        </w:rPr>
        <w:t>L’Université Ibn Khaldoun de Tiaret lance, u</w:t>
      </w:r>
      <w:r>
        <w:rPr>
          <w:sz w:val="20"/>
          <w:szCs w:val="20"/>
        </w:rPr>
        <w:t>n avis de consultation</w:t>
      </w:r>
      <w:r w:rsidR="00813AD7">
        <w:rPr>
          <w:sz w:val="20"/>
          <w:szCs w:val="20"/>
        </w:rPr>
        <w:t xml:space="preserve"> </w:t>
      </w:r>
      <w:r w:rsidR="00813AD7" w:rsidRPr="006D7486">
        <w:rPr>
          <w:sz w:val="20"/>
          <w:szCs w:val="20"/>
          <w:lang w:bidi="ar-DZ"/>
        </w:rPr>
        <w:t>pour</w:t>
      </w:r>
      <w:r w:rsidR="006D7486" w:rsidRPr="006D7486">
        <w:rPr>
          <w:sz w:val="20"/>
          <w:szCs w:val="20"/>
          <w:lang w:bidi="ar-DZ"/>
        </w:rPr>
        <w:t> </w:t>
      </w:r>
      <w:r w:rsidR="006D7486" w:rsidRPr="006D7486">
        <w:rPr>
          <w:b/>
          <w:bCs/>
          <w:sz w:val="20"/>
          <w:szCs w:val="20"/>
          <w:lang w:bidi="ar-DZ"/>
        </w:rPr>
        <w:t>: Réfection et</w:t>
      </w:r>
      <w:r w:rsidR="006D7486">
        <w:rPr>
          <w:sz w:val="20"/>
          <w:szCs w:val="20"/>
        </w:rPr>
        <w:t xml:space="preserve"> </w:t>
      </w:r>
      <w:r w:rsidR="00315E52">
        <w:rPr>
          <w:b/>
          <w:bCs/>
          <w:sz w:val="20"/>
          <w:szCs w:val="20"/>
          <w:lang w:bidi="ar-DZ"/>
        </w:rPr>
        <w:t>Réhabilitation du campus de K</w:t>
      </w:r>
      <w:r w:rsidR="006D7486">
        <w:rPr>
          <w:b/>
          <w:bCs/>
          <w:sz w:val="20"/>
          <w:szCs w:val="20"/>
          <w:lang w:bidi="ar-DZ"/>
        </w:rPr>
        <w:t>s</w:t>
      </w:r>
      <w:r w:rsidR="00315E52">
        <w:rPr>
          <w:b/>
          <w:bCs/>
          <w:sz w:val="20"/>
          <w:szCs w:val="20"/>
          <w:lang w:bidi="ar-DZ"/>
        </w:rPr>
        <w:t>ar Chellala</w:t>
      </w:r>
      <w:r w:rsidR="006745E7">
        <w:rPr>
          <w:b/>
          <w:bCs/>
          <w:sz w:val="20"/>
          <w:szCs w:val="20"/>
          <w:lang w:bidi="ar-DZ"/>
        </w:rPr>
        <w:t xml:space="preserve"> a</w:t>
      </w:r>
      <w:r w:rsidR="00813AD7">
        <w:rPr>
          <w:b/>
          <w:bCs/>
          <w:sz w:val="20"/>
          <w:szCs w:val="20"/>
        </w:rPr>
        <w:t xml:space="preserve">u </w:t>
      </w:r>
      <w:r w:rsidR="00315E52" w:rsidRPr="00A44241">
        <w:rPr>
          <w:b/>
          <w:bCs/>
          <w:sz w:val="20"/>
          <w:szCs w:val="20"/>
        </w:rPr>
        <w:t>Profit de l’Université Ibn Khaldoun de Tiaret</w:t>
      </w:r>
    </w:p>
    <w:p w:rsidR="00540CBD" w:rsidRDefault="00540CBD" w:rsidP="00884953">
      <w:pPr>
        <w:ind w:right="-142"/>
        <w:rPr>
          <w:b/>
          <w:bCs/>
          <w:sz w:val="20"/>
          <w:szCs w:val="20"/>
        </w:rPr>
      </w:pPr>
      <w:r>
        <w:rPr>
          <w:b/>
          <w:bCs/>
          <w:sz w:val="20"/>
          <w:szCs w:val="20"/>
        </w:rPr>
        <w:t xml:space="preserve">                        Lot 01 : </w:t>
      </w:r>
      <w:r w:rsidR="00884953">
        <w:rPr>
          <w:b/>
          <w:bCs/>
          <w:sz w:val="20"/>
          <w:szCs w:val="20"/>
        </w:rPr>
        <w:t>Réalisation d’escaliers de secours et d</w:t>
      </w:r>
      <w:r>
        <w:rPr>
          <w:b/>
          <w:bCs/>
          <w:sz w:val="20"/>
          <w:szCs w:val="20"/>
        </w:rPr>
        <w:t xml:space="preserve">éplacement de chaudière </w:t>
      </w:r>
    </w:p>
    <w:p w:rsidR="00540CBD" w:rsidRDefault="00540CBD" w:rsidP="00540CBD">
      <w:pPr>
        <w:ind w:right="-142"/>
        <w:rPr>
          <w:b/>
          <w:bCs/>
          <w:sz w:val="20"/>
          <w:szCs w:val="20"/>
        </w:rPr>
      </w:pPr>
      <w:r>
        <w:rPr>
          <w:b/>
          <w:bCs/>
          <w:sz w:val="20"/>
          <w:szCs w:val="20"/>
        </w:rPr>
        <w:t xml:space="preserve">                        Lot 02</w:t>
      </w:r>
      <w:r w:rsidR="00414791">
        <w:rPr>
          <w:b/>
          <w:bCs/>
          <w:sz w:val="20"/>
          <w:szCs w:val="20"/>
        </w:rPr>
        <w:t> :</w:t>
      </w:r>
      <w:r>
        <w:rPr>
          <w:b/>
          <w:bCs/>
          <w:sz w:val="20"/>
          <w:szCs w:val="20"/>
        </w:rPr>
        <w:t xml:space="preserve"> Equipement de Climatisation partie pédagogie</w:t>
      </w:r>
    </w:p>
    <w:p w:rsidR="00540CBD" w:rsidRPr="00FB764F" w:rsidRDefault="00540CBD" w:rsidP="00540CBD">
      <w:pPr>
        <w:ind w:right="-142"/>
        <w:rPr>
          <w:b/>
          <w:bCs/>
          <w:sz w:val="20"/>
          <w:szCs w:val="20"/>
        </w:rPr>
      </w:pPr>
      <w:r>
        <w:rPr>
          <w:b/>
          <w:bCs/>
          <w:sz w:val="20"/>
          <w:szCs w:val="20"/>
        </w:rPr>
        <w:t xml:space="preserve">                        Lot 03</w:t>
      </w:r>
      <w:r w:rsidR="00414791">
        <w:rPr>
          <w:b/>
          <w:bCs/>
          <w:sz w:val="20"/>
          <w:szCs w:val="20"/>
        </w:rPr>
        <w:t> :</w:t>
      </w:r>
      <w:r>
        <w:rPr>
          <w:b/>
          <w:bCs/>
          <w:sz w:val="20"/>
          <w:szCs w:val="20"/>
        </w:rPr>
        <w:t xml:space="preserve"> Equipement de Climatisation partie hébergement.</w:t>
      </w:r>
    </w:p>
    <w:p w:rsidR="00540CBD" w:rsidRPr="00851D65" w:rsidRDefault="00540CBD" w:rsidP="00540CBD">
      <w:pPr>
        <w:ind w:right="-142"/>
        <w:jc w:val="both"/>
        <w:rPr>
          <w:sz w:val="20"/>
          <w:szCs w:val="20"/>
        </w:rPr>
      </w:pPr>
      <w:r>
        <w:rPr>
          <w:sz w:val="20"/>
          <w:szCs w:val="20"/>
        </w:rPr>
        <w:t>Les entreprises</w:t>
      </w:r>
      <w:r w:rsidRPr="00851D65">
        <w:rPr>
          <w:sz w:val="20"/>
          <w:szCs w:val="20"/>
        </w:rPr>
        <w:t xml:space="preserve"> intéressés par cet avis peuvent retirer le cahier des charges</w:t>
      </w:r>
      <w:r>
        <w:rPr>
          <w:b/>
          <w:bCs/>
          <w:sz w:val="20"/>
          <w:szCs w:val="20"/>
        </w:rPr>
        <w:t>,</w:t>
      </w:r>
      <w:r w:rsidRPr="00851D65">
        <w:rPr>
          <w:sz w:val="20"/>
          <w:szCs w:val="20"/>
        </w:rPr>
        <w:t xml:space="preserve"> </w:t>
      </w:r>
      <w:r>
        <w:rPr>
          <w:sz w:val="20"/>
          <w:szCs w:val="20"/>
        </w:rPr>
        <w:t xml:space="preserve">auprès du Vice Rectorat du Développement, de la Prospective et de l’Orientation </w:t>
      </w:r>
      <w:r w:rsidRPr="00851D65">
        <w:rPr>
          <w:sz w:val="20"/>
          <w:szCs w:val="20"/>
        </w:rPr>
        <w:t>de l’Université Ibn Khaldoun de Tiaret.</w:t>
      </w:r>
    </w:p>
    <w:p w:rsidR="00540CBD" w:rsidRPr="00851D65" w:rsidRDefault="00540CBD" w:rsidP="00540CBD">
      <w:pPr>
        <w:ind w:right="-142"/>
        <w:jc w:val="both"/>
        <w:rPr>
          <w:sz w:val="20"/>
          <w:szCs w:val="20"/>
        </w:rPr>
      </w:pPr>
      <w:r w:rsidRPr="00851D65">
        <w:rPr>
          <w:sz w:val="20"/>
          <w:szCs w:val="20"/>
        </w:rPr>
        <w:t>Les modalités de présentation des offres (offre technique et offre financière) sont décrites dans le cahier des charges. Ces offres, insérées séparément dans deux enveloppes fermées </w:t>
      </w:r>
      <w:r>
        <w:rPr>
          <w:sz w:val="20"/>
          <w:szCs w:val="20"/>
        </w:rPr>
        <w:t>(E1) et (E2</w:t>
      </w:r>
      <w:r w:rsidRPr="00851D65">
        <w:rPr>
          <w:sz w:val="20"/>
          <w:szCs w:val="20"/>
        </w:rPr>
        <w:t xml:space="preserve">) portant respectivement les mentions « Offre technique » et « Offre financière », doivent être contenues dans un pli fermé et anonyme </w:t>
      </w:r>
      <w:r>
        <w:rPr>
          <w:sz w:val="20"/>
          <w:szCs w:val="20"/>
        </w:rPr>
        <w:t xml:space="preserve">(E3) </w:t>
      </w:r>
      <w:r w:rsidRPr="00851D65">
        <w:rPr>
          <w:sz w:val="20"/>
          <w:szCs w:val="20"/>
        </w:rPr>
        <w:t>portant la mention suivante :</w:t>
      </w:r>
    </w:p>
    <w:p w:rsidR="00540CBD" w:rsidRPr="00A44241" w:rsidRDefault="00540CBD" w:rsidP="003A55E3">
      <w:pPr>
        <w:jc w:val="center"/>
        <w:rPr>
          <w:b/>
          <w:bCs/>
          <w:sz w:val="20"/>
          <w:szCs w:val="20"/>
        </w:rPr>
      </w:pPr>
      <w:r>
        <w:rPr>
          <w:b/>
          <w:bCs/>
          <w:sz w:val="20"/>
          <w:szCs w:val="20"/>
        </w:rPr>
        <w:t>Avis de consultation N° 0</w:t>
      </w:r>
      <w:r w:rsidR="003A55E3">
        <w:rPr>
          <w:b/>
          <w:bCs/>
          <w:sz w:val="20"/>
          <w:szCs w:val="20"/>
        </w:rPr>
        <w:t>6</w:t>
      </w:r>
      <w:r w:rsidRPr="00A44241">
        <w:rPr>
          <w:b/>
          <w:bCs/>
          <w:sz w:val="20"/>
          <w:szCs w:val="20"/>
        </w:rPr>
        <w:t>/UIKT/201</w:t>
      </w:r>
      <w:r>
        <w:rPr>
          <w:b/>
          <w:bCs/>
          <w:sz w:val="20"/>
          <w:szCs w:val="20"/>
        </w:rPr>
        <w:t>5</w:t>
      </w:r>
    </w:p>
    <w:p w:rsidR="006745E7" w:rsidRDefault="006745E7" w:rsidP="007A1414">
      <w:pPr>
        <w:ind w:right="-142"/>
        <w:jc w:val="center"/>
        <w:rPr>
          <w:b/>
          <w:bCs/>
          <w:sz w:val="20"/>
          <w:szCs w:val="20"/>
        </w:rPr>
      </w:pPr>
      <w:r w:rsidRPr="006D7486">
        <w:rPr>
          <w:b/>
          <w:bCs/>
          <w:sz w:val="20"/>
          <w:szCs w:val="20"/>
          <w:lang w:bidi="ar-DZ"/>
        </w:rPr>
        <w:t>Réfection et</w:t>
      </w:r>
      <w:r>
        <w:rPr>
          <w:sz w:val="20"/>
          <w:szCs w:val="20"/>
        </w:rPr>
        <w:t xml:space="preserve"> </w:t>
      </w:r>
      <w:r>
        <w:rPr>
          <w:b/>
          <w:bCs/>
          <w:sz w:val="20"/>
          <w:szCs w:val="20"/>
          <w:lang w:bidi="ar-DZ"/>
        </w:rPr>
        <w:t>Réhabilitation du campus de Ksar Chellala a</w:t>
      </w:r>
      <w:r>
        <w:rPr>
          <w:b/>
          <w:bCs/>
          <w:sz w:val="20"/>
          <w:szCs w:val="20"/>
        </w:rPr>
        <w:t xml:space="preserve">u </w:t>
      </w:r>
      <w:r w:rsidRPr="00A44241">
        <w:rPr>
          <w:b/>
          <w:bCs/>
          <w:sz w:val="20"/>
          <w:szCs w:val="20"/>
        </w:rPr>
        <w:t>Profit de l’Université Ibn Khaldoun de Tiaret</w:t>
      </w:r>
      <w:r w:rsidR="0057414D">
        <w:rPr>
          <w:b/>
          <w:bCs/>
          <w:sz w:val="20"/>
          <w:szCs w:val="20"/>
        </w:rPr>
        <w:t xml:space="preserve">            </w:t>
      </w:r>
    </w:p>
    <w:p w:rsidR="00540CBD" w:rsidRDefault="0057414D" w:rsidP="007A1414">
      <w:pPr>
        <w:ind w:right="-142"/>
        <w:jc w:val="center"/>
        <w:rPr>
          <w:b/>
          <w:bCs/>
          <w:sz w:val="20"/>
          <w:szCs w:val="20"/>
        </w:rPr>
      </w:pPr>
      <w:r>
        <w:rPr>
          <w:b/>
          <w:bCs/>
          <w:sz w:val="20"/>
          <w:szCs w:val="20"/>
        </w:rPr>
        <w:t xml:space="preserve">      Lot 01 :</w:t>
      </w:r>
      <w:r>
        <w:rPr>
          <w:rFonts w:hint="cs"/>
          <w:b/>
          <w:bCs/>
          <w:sz w:val="20"/>
          <w:szCs w:val="20"/>
          <w:rtl/>
        </w:rPr>
        <w:t xml:space="preserve"> </w:t>
      </w:r>
      <w:r>
        <w:rPr>
          <w:b/>
          <w:bCs/>
          <w:sz w:val="20"/>
          <w:szCs w:val="20"/>
          <w:lang w:bidi="ar-DZ"/>
        </w:rPr>
        <w:t>R</w:t>
      </w:r>
      <w:r>
        <w:rPr>
          <w:b/>
          <w:bCs/>
          <w:sz w:val="20"/>
          <w:szCs w:val="20"/>
        </w:rPr>
        <w:t>éalisation d’escaliers de secours</w:t>
      </w:r>
      <w:r w:rsidR="00540CBD">
        <w:rPr>
          <w:b/>
          <w:bCs/>
          <w:sz w:val="20"/>
          <w:szCs w:val="20"/>
        </w:rPr>
        <w:t xml:space="preserve"> </w:t>
      </w:r>
      <w:r>
        <w:rPr>
          <w:b/>
          <w:bCs/>
          <w:sz w:val="20"/>
          <w:szCs w:val="20"/>
        </w:rPr>
        <w:t xml:space="preserve">et </w:t>
      </w:r>
      <w:r w:rsidR="00540CBD">
        <w:rPr>
          <w:b/>
          <w:bCs/>
          <w:sz w:val="20"/>
          <w:szCs w:val="20"/>
        </w:rPr>
        <w:t xml:space="preserve">déplacement de chaudière  </w:t>
      </w:r>
    </w:p>
    <w:p w:rsidR="00540CBD" w:rsidRDefault="00540CBD" w:rsidP="00540CBD">
      <w:pPr>
        <w:ind w:right="-142"/>
        <w:rPr>
          <w:b/>
          <w:bCs/>
          <w:sz w:val="20"/>
          <w:szCs w:val="20"/>
        </w:rPr>
      </w:pPr>
      <w:r>
        <w:rPr>
          <w:b/>
          <w:bCs/>
          <w:sz w:val="20"/>
          <w:szCs w:val="20"/>
        </w:rPr>
        <w:t xml:space="preserve">                                                Lot 02</w:t>
      </w:r>
      <w:r w:rsidR="0057414D">
        <w:rPr>
          <w:b/>
          <w:bCs/>
          <w:sz w:val="20"/>
          <w:szCs w:val="20"/>
        </w:rPr>
        <w:t> :</w:t>
      </w:r>
      <w:r>
        <w:rPr>
          <w:b/>
          <w:bCs/>
          <w:sz w:val="20"/>
          <w:szCs w:val="20"/>
        </w:rPr>
        <w:t xml:space="preserve"> Equipement de Climatisation partie pédagogie</w:t>
      </w:r>
    </w:p>
    <w:p w:rsidR="00540CBD" w:rsidRPr="00FB764F" w:rsidRDefault="00540CBD" w:rsidP="00540CBD">
      <w:pPr>
        <w:ind w:right="-142"/>
        <w:rPr>
          <w:b/>
          <w:bCs/>
          <w:sz w:val="20"/>
          <w:szCs w:val="20"/>
        </w:rPr>
      </w:pPr>
      <w:r>
        <w:rPr>
          <w:b/>
          <w:bCs/>
          <w:sz w:val="20"/>
          <w:szCs w:val="20"/>
        </w:rPr>
        <w:t xml:space="preserve">                                                Lot 03</w:t>
      </w:r>
      <w:r w:rsidR="0057414D">
        <w:rPr>
          <w:b/>
          <w:bCs/>
          <w:sz w:val="20"/>
          <w:szCs w:val="20"/>
        </w:rPr>
        <w:t> : Equipement</w:t>
      </w:r>
      <w:r>
        <w:rPr>
          <w:b/>
          <w:bCs/>
          <w:sz w:val="20"/>
          <w:szCs w:val="20"/>
        </w:rPr>
        <w:t xml:space="preserve"> de Climatisation partie hébergement.</w:t>
      </w:r>
    </w:p>
    <w:p w:rsidR="00540CBD" w:rsidRPr="00A44241" w:rsidRDefault="00540CBD" w:rsidP="00540CBD">
      <w:pPr>
        <w:jc w:val="center"/>
        <w:rPr>
          <w:b/>
          <w:bCs/>
          <w:sz w:val="20"/>
          <w:szCs w:val="20"/>
        </w:rPr>
      </w:pPr>
      <w:r w:rsidRPr="00A44241">
        <w:rPr>
          <w:b/>
          <w:bCs/>
          <w:sz w:val="20"/>
          <w:szCs w:val="20"/>
        </w:rPr>
        <w:t xml:space="preserve"> « À ne pas ouvrir »</w:t>
      </w:r>
    </w:p>
    <w:p w:rsidR="00540CBD" w:rsidRPr="00851D65" w:rsidRDefault="00540CBD" w:rsidP="00540CBD">
      <w:pPr>
        <w:jc w:val="both"/>
        <w:rPr>
          <w:sz w:val="20"/>
          <w:szCs w:val="20"/>
        </w:rPr>
      </w:pPr>
      <w:r w:rsidRPr="00851D65">
        <w:rPr>
          <w:sz w:val="20"/>
          <w:szCs w:val="20"/>
        </w:rPr>
        <w:t xml:space="preserve">L’enveloppe </w:t>
      </w:r>
      <w:r>
        <w:rPr>
          <w:sz w:val="20"/>
          <w:szCs w:val="20"/>
        </w:rPr>
        <w:t>(E1</w:t>
      </w:r>
      <w:r w:rsidRPr="00851D65">
        <w:rPr>
          <w:sz w:val="20"/>
          <w:szCs w:val="20"/>
        </w:rPr>
        <w:t xml:space="preserve">) </w:t>
      </w:r>
      <w:r w:rsidRPr="00851D65">
        <w:rPr>
          <w:b/>
          <w:bCs/>
          <w:sz w:val="20"/>
          <w:szCs w:val="20"/>
        </w:rPr>
        <w:t>« Offre technique »</w:t>
      </w:r>
      <w:r w:rsidRPr="00851D65">
        <w:rPr>
          <w:sz w:val="20"/>
          <w:szCs w:val="20"/>
        </w:rPr>
        <w:t xml:space="preserve"> doit contenir les documents suivants : </w:t>
      </w:r>
    </w:p>
    <w:tbl>
      <w:tblPr>
        <w:tblW w:w="10206"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67"/>
        <w:gridCol w:w="9639"/>
      </w:tblGrid>
      <w:tr w:rsidR="00540CBD" w:rsidRPr="000D11D1" w:rsidTr="00EE7F71">
        <w:trPr>
          <w:trHeight w:val="411"/>
        </w:trPr>
        <w:tc>
          <w:tcPr>
            <w:tcW w:w="567" w:type="dxa"/>
            <w:tcBorders>
              <w:top w:val="single" w:sz="24" w:space="0" w:color="auto"/>
              <w:left w:val="single" w:sz="24" w:space="0" w:color="auto"/>
              <w:bottom w:val="single" w:sz="24" w:space="0" w:color="auto"/>
              <w:right w:val="single" w:sz="18" w:space="0" w:color="auto"/>
            </w:tcBorders>
            <w:vAlign w:val="center"/>
          </w:tcPr>
          <w:p w:rsidR="00540CBD" w:rsidRPr="000D11D1" w:rsidRDefault="00540CBD" w:rsidP="00EE7F71">
            <w:pPr>
              <w:jc w:val="center"/>
              <w:rPr>
                <w:b/>
                <w:bCs/>
              </w:rPr>
            </w:pPr>
            <w:r w:rsidRPr="000D11D1">
              <w:rPr>
                <w:b/>
                <w:bCs/>
              </w:rPr>
              <w:t>N°</w:t>
            </w:r>
          </w:p>
        </w:tc>
        <w:tc>
          <w:tcPr>
            <w:tcW w:w="9639" w:type="dxa"/>
            <w:tcBorders>
              <w:top w:val="single" w:sz="24" w:space="0" w:color="auto"/>
              <w:left w:val="single" w:sz="18" w:space="0" w:color="auto"/>
              <w:bottom w:val="single" w:sz="24" w:space="0" w:color="auto"/>
              <w:right w:val="single" w:sz="24" w:space="0" w:color="auto"/>
            </w:tcBorders>
            <w:vAlign w:val="center"/>
          </w:tcPr>
          <w:p w:rsidR="00540CBD" w:rsidRPr="000D11D1" w:rsidRDefault="00540CBD" w:rsidP="00EE7F71">
            <w:pPr>
              <w:jc w:val="center"/>
              <w:rPr>
                <w:b/>
                <w:bCs/>
              </w:rPr>
            </w:pPr>
            <w:r>
              <w:rPr>
                <w:b/>
                <w:bCs/>
              </w:rPr>
              <w:t>Désignation des d</w:t>
            </w:r>
            <w:r w:rsidRPr="000D11D1">
              <w:rPr>
                <w:b/>
                <w:bCs/>
              </w:rPr>
              <w:t>ocuments</w:t>
            </w:r>
          </w:p>
        </w:tc>
      </w:tr>
      <w:tr w:rsidR="00540CBD" w:rsidRPr="000D11D1" w:rsidTr="00EE7F71">
        <w:trPr>
          <w:trHeight w:val="183"/>
        </w:trPr>
        <w:tc>
          <w:tcPr>
            <w:tcW w:w="567" w:type="dxa"/>
            <w:tcBorders>
              <w:top w:val="single" w:sz="24" w:space="0" w:color="auto"/>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01</w:t>
            </w:r>
          </w:p>
        </w:tc>
        <w:tc>
          <w:tcPr>
            <w:tcW w:w="9639" w:type="dxa"/>
            <w:tcBorders>
              <w:top w:val="single" w:sz="24" w:space="0" w:color="auto"/>
              <w:left w:val="single" w:sz="18" w:space="0" w:color="auto"/>
              <w:right w:val="single" w:sz="24" w:space="0" w:color="auto"/>
            </w:tcBorders>
            <w:vAlign w:val="center"/>
          </w:tcPr>
          <w:p w:rsidR="00540CBD" w:rsidRPr="000D11D1" w:rsidRDefault="00540CBD" w:rsidP="00EE7F71">
            <w:pPr>
              <w:rPr>
                <w:sz w:val="20"/>
                <w:szCs w:val="20"/>
              </w:rPr>
            </w:pPr>
            <w:r w:rsidRPr="00DB3E83">
              <w:rPr>
                <w:sz w:val="20"/>
                <w:szCs w:val="20"/>
              </w:rPr>
              <w:t>Cahier des charges paraphé, renseigné, signé et visé par le soumissionnaire.</w:t>
            </w:r>
          </w:p>
        </w:tc>
      </w:tr>
      <w:tr w:rsidR="00540CBD" w:rsidRPr="000D11D1" w:rsidTr="00EE7F71">
        <w:trPr>
          <w:trHeight w:val="277"/>
        </w:trPr>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02</w:t>
            </w:r>
          </w:p>
        </w:tc>
        <w:tc>
          <w:tcPr>
            <w:tcW w:w="9639" w:type="dxa"/>
            <w:tcBorders>
              <w:left w:val="single" w:sz="18" w:space="0" w:color="auto"/>
              <w:right w:val="single" w:sz="24" w:space="0" w:color="auto"/>
            </w:tcBorders>
            <w:vAlign w:val="center"/>
          </w:tcPr>
          <w:p w:rsidR="00540CBD" w:rsidRPr="00DB3E83" w:rsidRDefault="00540CBD" w:rsidP="00EE7F71">
            <w:pPr>
              <w:rPr>
                <w:sz w:val="20"/>
                <w:szCs w:val="20"/>
              </w:rPr>
            </w:pPr>
            <w:r w:rsidRPr="00DB3E83">
              <w:rPr>
                <w:sz w:val="20"/>
                <w:szCs w:val="20"/>
              </w:rPr>
              <w:t>La déclaration à souscrire dûment renseignée, signée, visée et établie selon le modèle ci-joint.</w:t>
            </w:r>
          </w:p>
        </w:tc>
      </w:tr>
      <w:tr w:rsidR="00540CBD" w:rsidRPr="000D11D1" w:rsidTr="00EE7F71">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03</w:t>
            </w:r>
          </w:p>
        </w:tc>
        <w:tc>
          <w:tcPr>
            <w:tcW w:w="9639" w:type="dxa"/>
            <w:tcBorders>
              <w:left w:val="single" w:sz="18" w:space="0" w:color="auto"/>
              <w:right w:val="single" w:sz="24" w:space="0" w:color="auto"/>
            </w:tcBorders>
            <w:vAlign w:val="center"/>
          </w:tcPr>
          <w:p w:rsidR="00540CBD" w:rsidRPr="00DB3E83" w:rsidRDefault="00540CBD" w:rsidP="00EE7F71">
            <w:pPr>
              <w:rPr>
                <w:sz w:val="20"/>
                <w:szCs w:val="20"/>
              </w:rPr>
            </w:pPr>
            <w:r w:rsidRPr="00DB3E83">
              <w:rPr>
                <w:sz w:val="20"/>
                <w:szCs w:val="20"/>
              </w:rPr>
              <w:t>La déclaration de probité dûment renseignée, signée, visée et établie selon le modèle ci-joint.</w:t>
            </w:r>
          </w:p>
        </w:tc>
      </w:tr>
      <w:tr w:rsidR="00540CBD" w:rsidRPr="000D11D1" w:rsidTr="00EE7F71">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04</w:t>
            </w:r>
          </w:p>
        </w:tc>
        <w:tc>
          <w:tcPr>
            <w:tcW w:w="9639" w:type="dxa"/>
            <w:tcBorders>
              <w:left w:val="single" w:sz="18" w:space="0" w:color="auto"/>
              <w:right w:val="single" w:sz="24" w:space="0" w:color="auto"/>
            </w:tcBorders>
            <w:vAlign w:val="center"/>
          </w:tcPr>
          <w:p w:rsidR="00540CBD" w:rsidRPr="000D11D1" w:rsidRDefault="00540CBD" w:rsidP="00EE7F71">
            <w:pPr>
              <w:rPr>
                <w:sz w:val="20"/>
                <w:szCs w:val="20"/>
              </w:rPr>
            </w:pPr>
            <w:r w:rsidRPr="00EF071B">
              <w:rPr>
                <w:sz w:val="20"/>
                <w:szCs w:val="20"/>
              </w:rPr>
              <w:t>Copie conforme à l’original de l’attestation de dépôt des comptes sociaux</w:t>
            </w:r>
            <w:r>
              <w:rPr>
                <w:sz w:val="20"/>
                <w:szCs w:val="20"/>
              </w:rPr>
              <w:t xml:space="preserve"> pour les personnes morales</w:t>
            </w:r>
            <w:r w:rsidRPr="00EF071B">
              <w:rPr>
                <w:sz w:val="20"/>
                <w:szCs w:val="20"/>
              </w:rPr>
              <w:t>.</w:t>
            </w:r>
          </w:p>
        </w:tc>
      </w:tr>
      <w:tr w:rsidR="00540CBD" w:rsidRPr="000D11D1" w:rsidTr="00EE7F71">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05</w:t>
            </w:r>
          </w:p>
        </w:tc>
        <w:tc>
          <w:tcPr>
            <w:tcW w:w="9639" w:type="dxa"/>
            <w:tcBorders>
              <w:left w:val="single" w:sz="18" w:space="0" w:color="auto"/>
              <w:right w:val="single" w:sz="24" w:space="0" w:color="auto"/>
            </w:tcBorders>
            <w:vAlign w:val="center"/>
          </w:tcPr>
          <w:p w:rsidR="00540CBD" w:rsidRPr="000D11D1" w:rsidRDefault="00540CBD" w:rsidP="00EE7F71">
            <w:pPr>
              <w:jc w:val="both"/>
              <w:rPr>
                <w:sz w:val="20"/>
                <w:szCs w:val="20"/>
              </w:rPr>
            </w:pPr>
            <w:r>
              <w:rPr>
                <w:sz w:val="20"/>
                <w:szCs w:val="20"/>
              </w:rPr>
              <w:t xml:space="preserve">Copie </w:t>
            </w:r>
            <w:r w:rsidRPr="00EF071B">
              <w:rPr>
                <w:sz w:val="20"/>
                <w:szCs w:val="20"/>
              </w:rPr>
              <w:t>conforme à l’original du registre de commerce ; l’activité inscrite sur le registre de commerce doit correspondre aux prestations demandées.</w:t>
            </w:r>
          </w:p>
        </w:tc>
      </w:tr>
      <w:tr w:rsidR="00540CBD" w:rsidRPr="000D11D1" w:rsidTr="00EE7F71">
        <w:trPr>
          <w:trHeight w:val="269"/>
        </w:trPr>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06</w:t>
            </w:r>
          </w:p>
        </w:tc>
        <w:tc>
          <w:tcPr>
            <w:tcW w:w="9639" w:type="dxa"/>
            <w:tcBorders>
              <w:left w:val="single" w:sz="18" w:space="0" w:color="auto"/>
              <w:right w:val="single" w:sz="24" w:space="0" w:color="auto"/>
            </w:tcBorders>
            <w:vAlign w:val="center"/>
          </w:tcPr>
          <w:p w:rsidR="00540CBD" w:rsidRPr="009F1A57" w:rsidRDefault="00540CBD" w:rsidP="0057414D">
            <w:pPr>
              <w:jc w:val="both"/>
              <w:rPr>
                <w:rFonts w:ascii="Garamond" w:hAnsi="Garamond"/>
              </w:rPr>
            </w:pPr>
            <w:r w:rsidRPr="00EF071B">
              <w:rPr>
                <w:sz w:val="20"/>
                <w:szCs w:val="20"/>
              </w:rPr>
              <w:t>Copie conforme à l’original du certificat de qualification et classification professionnelle en cours d</w:t>
            </w:r>
            <w:r>
              <w:rPr>
                <w:sz w:val="20"/>
                <w:szCs w:val="20"/>
              </w:rPr>
              <w:t xml:space="preserve">e validité (domaine </w:t>
            </w:r>
            <w:r w:rsidR="0057414D">
              <w:rPr>
                <w:sz w:val="20"/>
                <w:szCs w:val="20"/>
              </w:rPr>
              <w:t>Bâtiment</w:t>
            </w:r>
            <w:r>
              <w:rPr>
                <w:sz w:val="20"/>
                <w:szCs w:val="20"/>
              </w:rPr>
              <w:t xml:space="preserve"> - catégorie I</w:t>
            </w:r>
            <w:r w:rsidRPr="00EF071B">
              <w:rPr>
                <w:sz w:val="20"/>
                <w:szCs w:val="20"/>
              </w:rPr>
              <w:t xml:space="preserve"> et </w:t>
            </w:r>
            <w:r w:rsidR="0057414D" w:rsidRPr="00EF071B">
              <w:rPr>
                <w:sz w:val="20"/>
                <w:szCs w:val="20"/>
              </w:rPr>
              <w:t>plus</w:t>
            </w:r>
            <w:r w:rsidR="0057414D">
              <w:rPr>
                <w:sz w:val="20"/>
                <w:szCs w:val="20"/>
              </w:rPr>
              <w:t>)</w:t>
            </w:r>
            <w:r w:rsidRPr="00EF071B">
              <w:rPr>
                <w:sz w:val="20"/>
                <w:szCs w:val="20"/>
              </w:rPr>
              <w:t>.</w:t>
            </w:r>
          </w:p>
        </w:tc>
      </w:tr>
      <w:tr w:rsidR="00540CBD" w:rsidRPr="000D11D1" w:rsidTr="00EE7F71">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07</w:t>
            </w:r>
          </w:p>
        </w:tc>
        <w:tc>
          <w:tcPr>
            <w:tcW w:w="9639" w:type="dxa"/>
            <w:tcBorders>
              <w:left w:val="single" w:sz="18" w:space="0" w:color="auto"/>
              <w:right w:val="single" w:sz="24" w:space="0" w:color="auto"/>
            </w:tcBorders>
            <w:vAlign w:val="center"/>
          </w:tcPr>
          <w:p w:rsidR="00540CBD" w:rsidRPr="000D11D1" w:rsidRDefault="00540CBD" w:rsidP="00EE7F71">
            <w:pPr>
              <w:jc w:val="both"/>
              <w:rPr>
                <w:sz w:val="20"/>
                <w:szCs w:val="20"/>
              </w:rPr>
            </w:pPr>
            <w:r>
              <w:rPr>
                <w:sz w:val="20"/>
                <w:szCs w:val="20"/>
              </w:rPr>
              <w:t>La fiche</w:t>
            </w:r>
            <w:r w:rsidRPr="000D11D1">
              <w:rPr>
                <w:sz w:val="20"/>
                <w:szCs w:val="20"/>
              </w:rPr>
              <w:t xml:space="preserve"> de renseignements dûment renseigné</w:t>
            </w:r>
            <w:r>
              <w:rPr>
                <w:sz w:val="20"/>
                <w:szCs w:val="20"/>
              </w:rPr>
              <w:t>e</w:t>
            </w:r>
            <w:r w:rsidRPr="000D11D1">
              <w:rPr>
                <w:sz w:val="20"/>
                <w:szCs w:val="20"/>
              </w:rPr>
              <w:t xml:space="preserve"> selon modèle </w:t>
            </w:r>
            <w:r>
              <w:rPr>
                <w:sz w:val="20"/>
                <w:szCs w:val="20"/>
              </w:rPr>
              <w:t>ci-</w:t>
            </w:r>
            <w:r w:rsidRPr="000D11D1">
              <w:rPr>
                <w:sz w:val="20"/>
                <w:szCs w:val="20"/>
              </w:rPr>
              <w:t>joint, signé</w:t>
            </w:r>
            <w:r>
              <w:rPr>
                <w:sz w:val="20"/>
                <w:szCs w:val="20"/>
              </w:rPr>
              <w:t xml:space="preserve">e et visée </w:t>
            </w:r>
            <w:r w:rsidRPr="00DB3E83">
              <w:rPr>
                <w:sz w:val="20"/>
                <w:szCs w:val="20"/>
              </w:rPr>
              <w:t>par le soumissionnaire</w:t>
            </w:r>
            <w:r w:rsidRPr="000D11D1">
              <w:rPr>
                <w:sz w:val="20"/>
                <w:szCs w:val="20"/>
              </w:rPr>
              <w:t>.</w:t>
            </w:r>
          </w:p>
        </w:tc>
      </w:tr>
      <w:tr w:rsidR="00540CBD" w:rsidRPr="000D11D1" w:rsidTr="00EE7F71">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08</w:t>
            </w:r>
          </w:p>
        </w:tc>
        <w:tc>
          <w:tcPr>
            <w:tcW w:w="9639" w:type="dxa"/>
            <w:tcBorders>
              <w:left w:val="single" w:sz="18" w:space="0" w:color="auto"/>
              <w:right w:val="single" w:sz="24" w:space="0" w:color="auto"/>
            </w:tcBorders>
            <w:vAlign w:val="center"/>
          </w:tcPr>
          <w:p w:rsidR="00540CBD" w:rsidRPr="000D11D1" w:rsidRDefault="00540CBD" w:rsidP="00EE7F71">
            <w:pPr>
              <w:jc w:val="both"/>
              <w:rPr>
                <w:sz w:val="20"/>
                <w:szCs w:val="20"/>
              </w:rPr>
            </w:pPr>
            <w:r w:rsidRPr="00EF071B">
              <w:rPr>
                <w:sz w:val="20"/>
                <w:szCs w:val="20"/>
              </w:rPr>
              <w:t>Copie conforme à l’or</w:t>
            </w:r>
            <w:r>
              <w:rPr>
                <w:sz w:val="20"/>
                <w:szCs w:val="20"/>
              </w:rPr>
              <w:t>iginal du statut pour les sociétés et entreprises</w:t>
            </w:r>
            <w:r w:rsidRPr="00EF071B">
              <w:rPr>
                <w:sz w:val="20"/>
                <w:szCs w:val="20"/>
              </w:rPr>
              <w:t>.</w:t>
            </w:r>
          </w:p>
        </w:tc>
      </w:tr>
      <w:tr w:rsidR="00540CBD" w:rsidRPr="000D11D1" w:rsidTr="00EE7F71">
        <w:trPr>
          <w:trHeight w:val="315"/>
        </w:trPr>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09</w:t>
            </w:r>
          </w:p>
        </w:tc>
        <w:tc>
          <w:tcPr>
            <w:tcW w:w="9639" w:type="dxa"/>
            <w:tcBorders>
              <w:left w:val="single" w:sz="18" w:space="0" w:color="auto"/>
              <w:right w:val="single" w:sz="24" w:space="0" w:color="auto"/>
            </w:tcBorders>
            <w:vAlign w:val="center"/>
          </w:tcPr>
          <w:p w:rsidR="00540CBD" w:rsidRPr="000D11D1" w:rsidRDefault="00540CBD" w:rsidP="00EE7F71">
            <w:pPr>
              <w:jc w:val="both"/>
              <w:rPr>
                <w:sz w:val="20"/>
                <w:szCs w:val="20"/>
              </w:rPr>
            </w:pPr>
            <w:r w:rsidRPr="00EF071B">
              <w:rPr>
                <w:sz w:val="20"/>
                <w:szCs w:val="20"/>
              </w:rPr>
              <w:t>Liste des moyens humains (justifiée par les diplômes et visée par la CNAS).</w:t>
            </w:r>
          </w:p>
        </w:tc>
      </w:tr>
      <w:tr w:rsidR="00540CBD" w:rsidRPr="000D11D1" w:rsidTr="00EE7F71">
        <w:trPr>
          <w:trHeight w:val="315"/>
        </w:trPr>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10</w:t>
            </w:r>
          </w:p>
        </w:tc>
        <w:tc>
          <w:tcPr>
            <w:tcW w:w="9639" w:type="dxa"/>
            <w:tcBorders>
              <w:left w:val="single" w:sz="18" w:space="0" w:color="auto"/>
              <w:right w:val="single" w:sz="24" w:space="0" w:color="auto"/>
            </w:tcBorders>
            <w:vAlign w:val="center"/>
          </w:tcPr>
          <w:p w:rsidR="00540CBD" w:rsidRPr="000D11D1" w:rsidRDefault="00540CBD" w:rsidP="00EE7F71">
            <w:pPr>
              <w:jc w:val="both"/>
              <w:rPr>
                <w:sz w:val="20"/>
                <w:szCs w:val="20"/>
              </w:rPr>
            </w:pPr>
            <w:r w:rsidRPr="00EF071B">
              <w:rPr>
                <w:sz w:val="20"/>
                <w:szCs w:val="20"/>
              </w:rPr>
              <w:t>Liste des moyens matériels (justifiée par un P. V. d’ Huissier de Justice de l’année en cours ou un rapport de l’Expert d’évaluation de matériel, par des copies de cartes grises pour le matériel roulant).</w:t>
            </w:r>
          </w:p>
        </w:tc>
      </w:tr>
      <w:tr w:rsidR="00540CBD" w:rsidRPr="000D11D1" w:rsidTr="00EE7F71">
        <w:trPr>
          <w:trHeight w:val="315"/>
        </w:trPr>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11</w:t>
            </w:r>
          </w:p>
        </w:tc>
        <w:tc>
          <w:tcPr>
            <w:tcW w:w="9639" w:type="dxa"/>
            <w:tcBorders>
              <w:left w:val="single" w:sz="18" w:space="0" w:color="auto"/>
              <w:right w:val="single" w:sz="24" w:space="0" w:color="auto"/>
            </w:tcBorders>
            <w:vAlign w:val="center"/>
          </w:tcPr>
          <w:p w:rsidR="00540CBD" w:rsidRPr="000D11D1" w:rsidRDefault="00540CBD" w:rsidP="00EE7F71">
            <w:pPr>
              <w:jc w:val="both"/>
              <w:rPr>
                <w:sz w:val="20"/>
                <w:szCs w:val="20"/>
              </w:rPr>
            </w:pPr>
            <w:r w:rsidRPr="000D11D1">
              <w:rPr>
                <w:sz w:val="20"/>
                <w:szCs w:val="20"/>
              </w:rPr>
              <w:t>L’extrait du casier judiciaire (original moins de trois mois) du signataire de la soumission (personne physique, gér</w:t>
            </w:r>
            <w:r>
              <w:rPr>
                <w:sz w:val="20"/>
                <w:szCs w:val="20"/>
              </w:rPr>
              <w:t xml:space="preserve">ant ou directeur général </w:t>
            </w:r>
            <w:r w:rsidRPr="000D11D1">
              <w:rPr>
                <w:sz w:val="20"/>
                <w:szCs w:val="20"/>
              </w:rPr>
              <w:t>lorsqu’il s’agit d’une société).</w:t>
            </w:r>
          </w:p>
        </w:tc>
      </w:tr>
      <w:tr w:rsidR="00540CBD" w:rsidRPr="000D11D1" w:rsidTr="00EE7F71">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12</w:t>
            </w:r>
          </w:p>
        </w:tc>
        <w:tc>
          <w:tcPr>
            <w:tcW w:w="9639" w:type="dxa"/>
            <w:tcBorders>
              <w:left w:val="single" w:sz="18" w:space="0" w:color="auto"/>
              <w:right w:val="single" w:sz="24" w:space="0" w:color="auto"/>
            </w:tcBorders>
            <w:vAlign w:val="center"/>
          </w:tcPr>
          <w:p w:rsidR="00540CBD" w:rsidRPr="000D11D1" w:rsidRDefault="00540CBD" w:rsidP="00EE7F71">
            <w:pPr>
              <w:rPr>
                <w:sz w:val="20"/>
                <w:szCs w:val="20"/>
              </w:rPr>
            </w:pPr>
            <w:r w:rsidRPr="00EF071B">
              <w:rPr>
                <w:sz w:val="20"/>
                <w:szCs w:val="20"/>
              </w:rPr>
              <w:t>Extrait de rôles apuré ou accompagné d’un échéancier de paiement et valide à la date d’ouverture des plis.</w:t>
            </w:r>
          </w:p>
        </w:tc>
      </w:tr>
      <w:tr w:rsidR="00540CBD" w:rsidRPr="000D11D1" w:rsidTr="00EE7F71">
        <w:trPr>
          <w:trHeight w:val="90"/>
        </w:trPr>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13</w:t>
            </w:r>
          </w:p>
        </w:tc>
        <w:tc>
          <w:tcPr>
            <w:tcW w:w="9639" w:type="dxa"/>
            <w:tcBorders>
              <w:left w:val="single" w:sz="18" w:space="0" w:color="auto"/>
              <w:right w:val="single" w:sz="24" w:space="0" w:color="auto"/>
            </w:tcBorders>
            <w:vAlign w:val="center"/>
          </w:tcPr>
          <w:p w:rsidR="00540CBD" w:rsidRPr="000D11D1" w:rsidRDefault="00540CBD" w:rsidP="00EE7F71">
            <w:pPr>
              <w:rPr>
                <w:sz w:val="20"/>
                <w:szCs w:val="20"/>
              </w:rPr>
            </w:pPr>
            <w:r w:rsidRPr="00EF071B">
              <w:rPr>
                <w:sz w:val="20"/>
                <w:szCs w:val="20"/>
              </w:rPr>
              <w:t>Copie</w:t>
            </w:r>
            <w:r>
              <w:rPr>
                <w:sz w:val="20"/>
                <w:szCs w:val="20"/>
              </w:rPr>
              <w:t xml:space="preserve"> </w:t>
            </w:r>
            <w:r w:rsidRPr="00EF071B">
              <w:rPr>
                <w:sz w:val="20"/>
                <w:szCs w:val="20"/>
              </w:rPr>
              <w:t>conforme à l’original de l’attestation NIS.</w:t>
            </w:r>
          </w:p>
        </w:tc>
      </w:tr>
      <w:tr w:rsidR="00540CBD" w:rsidRPr="000D11D1" w:rsidTr="00EE7F71">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14</w:t>
            </w:r>
          </w:p>
        </w:tc>
        <w:tc>
          <w:tcPr>
            <w:tcW w:w="9639" w:type="dxa"/>
            <w:tcBorders>
              <w:left w:val="single" w:sz="18" w:space="0" w:color="auto"/>
              <w:right w:val="single" w:sz="24" w:space="0" w:color="auto"/>
            </w:tcBorders>
            <w:vAlign w:val="center"/>
          </w:tcPr>
          <w:p w:rsidR="00540CBD" w:rsidRPr="000D11D1" w:rsidRDefault="00540CBD" w:rsidP="00EE7F71">
            <w:pPr>
              <w:rPr>
                <w:sz w:val="20"/>
                <w:szCs w:val="20"/>
              </w:rPr>
            </w:pPr>
            <w:r w:rsidRPr="00EF071B">
              <w:rPr>
                <w:sz w:val="20"/>
                <w:szCs w:val="20"/>
              </w:rPr>
              <w:t>Copie conforme à l’original de la carte d’immatriculation fiscale.</w:t>
            </w:r>
          </w:p>
        </w:tc>
      </w:tr>
      <w:tr w:rsidR="00540CBD" w:rsidRPr="000D11D1" w:rsidTr="00EE7F71">
        <w:trPr>
          <w:trHeight w:val="209"/>
        </w:trPr>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15</w:t>
            </w:r>
          </w:p>
        </w:tc>
        <w:tc>
          <w:tcPr>
            <w:tcW w:w="9639" w:type="dxa"/>
            <w:tcBorders>
              <w:left w:val="single" w:sz="18" w:space="0" w:color="auto"/>
              <w:right w:val="single" w:sz="24" w:space="0" w:color="auto"/>
            </w:tcBorders>
            <w:vAlign w:val="center"/>
          </w:tcPr>
          <w:p w:rsidR="00540CBD" w:rsidRPr="000D11D1" w:rsidRDefault="00540CBD" w:rsidP="00EE7F71">
            <w:pPr>
              <w:jc w:val="both"/>
              <w:rPr>
                <w:sz w:val="20"/>
                <w:szCs w:val="20"/>
              </w:rPr>
            </w:pPr>
            <w:r w:rsidRPr="00EF071B">
              <w:rPr>
                <w:sz w:val="20"/>
                <w:szCs w:val="20"/>
              </w:rPr>
              <w:t xml:space="preserve">Copie conforme à l’original des attestations de mise à jour valides (CNAS, CASNOS, </w:t>
            </w:r>
            <w:r>
              <w:rPr>
                <w:sz w:val="20"/>
                <w:szCs w:val="20"/>
              </w:rPr>
              <w:t>C</w:t>
            </w:r>
            <w:r w:rsidRPr="00EF071B">
              <w:rPr>
                <w:sz w:val="20"/>
                <w:szCs w:val="20"/>
              </w:rPr>
              <w:t>ACOBATH).</w:t>
            </w:r>
          </w:p>
        </w:tc>
      </w:tr>
      <w:tr w:rsidR="00540CBD" w:rsidRPr="000D11D1" w:rsidTr="00EE7F71">
        <w:trPr>
          <w:trHeight w:val="209"/>
        </w:trPr>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16</w:t>
            </w:r>
          </w:p>
        </w:tc>
        <w:tc>
          <w:tcPr>
            <w:tcW w:w="9639" w:type="dxa"/>
            <w:tcBorders>
              <w:left w:val="single" w:sz="18" w:space="0" w:color="auto"/>
              <w:right w:val="single" w:sz="24" w:space="0" w:color="auto"/>
            </w:tcBorders>
            <w:vAlign w:val="center"/>
          </w:tcPr>
          <w:p w:rsidR="00540CBD" w:rsidRPr="000D11D1" w:rsidRDefault="00540CBD" w:rsidP="00EE7F71">
            <w:pPr>
              <w:ind w:right="22"/>
              <w:jc w:val="both"/>
              <w:rPr>
                <w:sz w:val="20"/>
                <w:szCs w:val="20"/>
              </w:rPr>
            </w:pPr>
            <w:r>
              <w:rPr>
                <w:bCs/>
                <w:sz w:val="20"/>
                <w:szCs w:val="20"/>
              </w:rPr>
              <w:t>B</w:t>
            </w:r>
            <w:r w:rsidRPr="000D11D1">
              <w:rPr>
                <w:bCs/>
                <w:sz w:val="20"/>
                <w:szCs w:val="20"/>
              </w:rPr>
              <w:t>ilans comp</w:t>
            </w:r>
            <w:r>
              <w:rPr>
                <w:bCs/>
                <w:sz w:val="20"/>
                <w:szCs w:val="20"/>
              </w:rPr>
              <w:t xml:space="preserve">tables des </w:t>
            </w:r>
            <w:r w:rsidRPr="000D11D1">
              <w:rPr>
                <w:bCs/>
                <w:sz w:val="20"/>
                <w:szCs w:val="20"/>
              </w:rPr>
              <w:t xml:space="preserve">résultats financiers des </w:t>
            </w:r>
            <w:r>
              <w:rPr>
                <w:bCs/>
                <w:sz w:val="20"/>
                <w:szCs w:val="20"/>
              </w:rPr>
              <w:t>trois (</w:t>
            </w:r>
            <w:r w:rsidRPr="000D11D1">
              <w:rPr>
                <w:bCs/>
                <w:sz w:val="20"/>
                <w:szCs w:val="20"/>
              </w:rPr>
              <w:t>03</w:t>
            </w:r>
            <w:r>
              <w:rPr>
                <w:bCs/>
                <w:sz w:val="20"/>
                <w:szCs w:val="20"/>
              </w:rPr>
              <w:t>)</w:t>
            </w:r>
            <w:r w:rsidRPr="000D11D1">
              <w:rPr>
                <w:bCs/>
                <w:sz w:val="20"/>
                <w:szCs w:val="20"/>
              </w:rPr>
              <w:t xml:space="preserve"> dernières an</w:t>
            </w:r>
            <w:r>
              <w:rPr>
                <w:bCs/>
                <w:sz w:val="20"/>
                <w:szCs w:val="20"/>
              </w:rPr>
              <w:t>nées visés.</w:t>
            </w:r>
          </w:p>
        </w:tc>
      </w:tr>
      <w:tr w:rsidR="00540CBD" w:rsidRPr="000D11D1" w:rsidTr="00EE7F71">
        <w:trPr>
          <w:trHeight w:val="209"/>
        </w:trPr>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sidRPr="000D11D1">
              <w:rPr>
                <w:sz w:val="20"/>
                <w:szCs w:val="20"/>
              </w:rPr>
              <w:t>17</w:t>
            </w:r>
          </w:p>
        </w:tc>
        <w:tc>
          <w:tcPr>
            <w:tcW w:w="9639" w:type="dxa"/>
            <w:tcBorders>
              <w:left w:val="single" w:sz="18" w:space="0" w:color="auto"/>
              <w:right w:val="single" w:sz="24" w:space="0" w:color="auto"/>
            </w:tcBorders>
            <w:vAlign w:val="center"/>
          </w:tcPr>
          <w:p w:rsidR="00540CBD" w:rsidRPr="000D11D1" w:rsidRDefault="00540CBD" w:rsidP="00EE7F71">
            <w:pPr>
              <w:ind w:right="22"/>
              <w:jc w:val="both"/>
              <w:rPr>
                <w:sz w:val="20"/>
                <w:szCs w:val="20"/>
              </w:rPr>
            </w:pPr>
            <w:r w:rsidRPr="000D11D1">
              <w:rPr>
                <w:sz w:val="20"/>
                <w:szCs w:val="20"/>
              </w:rPr>
              <w:t xml:space="preserve">Planning </w:t>
            </w:r>
            <w:r>
              <w:rPr>
                <w:sz w:val="20"/>
                <w:szCs w:val="20"/>
              </w:rPr>
              <w:t xml:space="preserve">d’exécution </w:t>
            </w:r>
            <w:r w:rsidRPr="000D11D1">
              <w:rPr>
                <w:sz w:val="20"/>
                <w:szCs w:val="20"/>
              </w:rPr>
              <w:t>de</w:t>
            </w:r>
            <w:r>
              <w:rPr>
                <w:sz w:val="20"/>
                <w:szCs w:val="20"/>
              </w:rPr>
              <w:t>s travaux signé et visé par le soumissionnaire.</w:t>
            </w:r>
          </w:p>
        </w:tc>
      </w:tr>
      <w:tr w:rsidR="00540CBD" w:rsidRPr="000D11D1" w:rsidTr="00EE7F71">
        <w:trPr>
          <w:trHeight w:val="209"/>
        </w:trPr>
        <w:tc>
          <w:tcPr>
            <w:tcW w:w="567" w:type="dxa"/>
            <w:tcBorders>
              <w:left w:val="single" w:sz="24" w:space="0" w:color="auto"/>
              <w:right w:val="single" w:sz="18" w:space="0" w:color="auto"/>
            </w:tcBorders>
            <w:vAlign w:val="center"/>
          </w:tcPr>
          <w:p w:rsidR="00540CBD" w:rsidRPr="000D11D1" w:rsidRDefault="00540CBD" w:rsidP="00EE7F71">
            <w:pPr>
              <w:jc w:val="center"/>
              <w:rPr>
                <w:sz w:val="20"/>
                <w:szCs w:val="20"/>
              </w:rPr>
            </w:pPr>
            <w:r>
              <w:rPr>
                <w:sz w:val="20"/>
                <w:szCs w:val="20"/>
              </w:rPr>
              <w:t>18</w:t>
            </w:r>
          </w:p>
        </w:tc>
        <w:tc>
          <w:tcPr>
            <w:tcW w:w="9639" w:type="dxa"/>
            <w:tcBorders>
              <w:left w:val="single" w:sz="18" w:space="0" w:color="auto"/>
              <w:right w:val="single" w:sz="24" w:space="0" w:color="auto"/>
            </w:tcBorders>
            <w:vAlign w:val="center"/>
          </w:tcPr>
          <w:p w:rsidR="00540CBD" w:rsidRPr="000D11D1" w:rsidRDefault="00540CBD" w:rsidP="00EE7F71">
            <w:pPr>
              <w:ind w:right="22"/>
              <w:jc w:val="both"/>
              <w:rPr>
                <w:sz w:val="20"/>
                <w:szCs w:val="20"/>
              </w:rPr>
            </w:pPr>
            <w:r w:rsidRPr="00D272B6">
              <w:rPr>
                <w:sz w:val="20"/>
                <w:szCs w:val="20"/>
              </w:rPr>
              <w:t xml:space="preserve">Références professionnelles (appuyées d’attestations de bonne exécution ou des </w:t>
            </w:r>
            <w:proofErr w:type="spellStart"/>
            <w:r w:rsidRPr="00D272B6">
              <w:rPr>
                <w:sz w:val="20"/>
                <w:szCs w:val="20"/>
              </w:rPr>
              <w:t>procès verbaux</w:t>
            </w:r>
            <w:proofErr w:type="spellEnd"/>
            <w:r w:rsidRPr="00D272B6">
              <w:rPr>
                <w:sz w:val="20"/>
                <w:szCs w:val="20"/>
              </w:rPr>
              <w:t xml:space="preserve"> de réceptions provisoires et/ou définitives</w:t>
            </w:r>
            <w:r>
              <w:rPr>
                <w:sz w:val="20"/>
                <w:szCs w:val="20"/>
              </w:rPr>
              <w:t xml:space="preserve"> délivrés par des services contractants</w:t>
            </w:r>
            <w:r w:rsidRPr="00D272B6">
              <w:rPr>
                <w:sz w:val="20"/>
                <w:szCs w:val="20"/>
              </w:rPr>
              <w:t>).</w:t>
            </w:r>
          </w:p>
        </w:tc>
      </w:tr>
      <w:tr w:rsidR="00540CBD" w:rsidRPr="000D11D1" w:rsidTr="00EE7F71">
        <w:trPr>
          <w:trHeight w:val="209"/>
        </w:trPr>
        <w:tc>
          <w:tcPr>
            <w:tcW w:w="567" w:type="dxa"/>
            <w:tcBorders>
              <w:left w:val="single" w:sz="24" w:space="0" w:color="auto"/>
              <w:right w:val="single" w:sz="18" w:space="0" w:color="auto"/>
            </w:tcBorders>
            <w:vAlign w:val="center"/>
          </w:tcPr>
          <w:p w:rsidR="00540CBD" w:rsidRDefault="00540CBD" w:rsidP="00EE7F71">
            <w:pPr>
              <w:jc w:val="center"/>
              <w:rPr>
                <w:sz w:val="20"/>
                <w:szCs w:val="20"/>
              </w:rPr>
            </w:pPr>
            <w:r>
              <w:rPr>
                <w:sz w:val="20"/>
                <w:szCs w:val="20"/>
              </w:rPr>
              <w:t>19</w:t>
            </w:r>
          </w:p>
        </w:tc>
        <w:tc>
          <w:tcPr>
            <w:tcW w:w="9639" w:type="dxa"/>
            <w:tcBorders>
              <w:left w:val="single" w:sz="18" w:space="0" w:color="auto"/>
              <w:right w:val="single" w:sz="24" w:space="0" w:color="auto"/>
            </w:tcBorders>
            <w:vAlign w:val="center"/>
          </w:tcPr>
          <w:p w:rsidR="00540CBD" w:rsidRPr="00D272B6" w:rsidRDefault="00540CBD" w:rsidP="00EE7F71">
            <w:pPr>
              <w:ind w:right="22"/>
              <w:jc w:val="both"/>
              <w:rPr>
                <w:sz w:val="20"/>
                <w:szCs w:val="20"/>
              </w:rPr>
            </w:pPr>
            <w:r w:rsidRPr="00D272B6">
              <w:rPr>
                <w:sz w:val="20"/>
                <w:szCs w:val="20"/>
              </w:rPr>
              <w:t>Attestation des références bancaires.</w:t>
            </w:r>
          </w:p>
        </w:tc>
      </w:tr>
    </w:tbl>
    <w:p w:rsidR="00540CBD" w:rsidRDefault="00540CBD" w:rsidP="00540CBD">
      <w:pPr>
        <w:jc w:val="both"/>
        <w:rPr>
          <w:sz w:val="20"/>
          <w:szCs w:val="20"/>
        </w:rPr>
      </w:pPr>
      <w:r w:rsidRPr="00851D65">
        <w:rPr>
          <w:sz w:val="20"/>
          <w:szCs w:val="20"/>
        </w:rPr>
        <w:t xml:space="preserve">L’enveloppe </w:t>
      </w:r>
      <w:r>
        <w:rPr>
          <w:sz w:val="20"/>
          <w:szCs w:val="20"/>
        </w:rPr>
        <w:t xml:space="preserve">(E2) </w:t>
      </w:r>
      <w:r w:rsidRPr="00851D65">
        <w:rPr>
          <w:b/>
          <w:bCs/>
          <w:sz w:val="20"/>
          <w:szCs w:val="20"/>
        </w:rPr>
        <w:t>« Offre financière »</w:t>
      </w:r>
      <w:r w:rsidRPr="00851D65">
        <w:rPr>
          <w:sz w:val="20"/>
          <w:szCs w:val="20"/>
        </w:rPr>
        <w:t xml:space="preserve"> doit contenir les pièces suivantes :</w:t>
      </w:r>
    </w:p>
    <w:p w:rsidR="00540CBD" w:rsidRPr="00851D65" w:rsidRDefault="00540CBD" w:rsidP="00540CBD">
      <w:pPr>
        <w:ind w:firstLine="708"/>
        <w:rPr>
          <w:sz w:val="20"/>
          <w:szCs w:val="20"/>
        </w:rPr>
      </w:pPr>
      <w:r w:rsidRPr="00851D65">
        <w:rPr>
          <w:sz w:val="20"/>
          <w:szCs w:val="20"/>
        </w:rPr>
        <w:t xml:space="preserve">- La </w:t>
      </w:r>
      <w:r>
        <w:rPr>
          <w:sz w:val="20"/>
          <w:szCs w:val="20"/>
        </w:rPr>
        <w:t>l</w:t>
      </w:r>
      <w:r w:rsidRPr="00CB6FB8">
        <w:rPr>
          <w:sz w:val="20"/>
          <w:szCs w:val="20"/>
        </w:rPr>
        <w:t>ettre de soumission dûmen</w:t>
      </w:r>
      <w:r>
        <w:rPr>
          <w:sz w:val="20"/>
          <w:szCs w:val="20"/>
        </w:rPr>
        <w:t>t renseignée, signée, visée</w:t>
      </w:r>
      <w:r w:rsidRPr="00851D65">
        <w:rPr>
          <w:sz w:val="20"/>
          <w:szCs w:val="20"/>
        </w:rPr>
        <w:t>.</w:t>
      </w:r>
    </w:p>
    <w:p w:rsidR="00540CBD" w:rsidRPr="00851D65" w:rsidRDefault="00540CBD" w:rsidP="00540CBD">
      <w:pPr>
        <w:ind w:firstLine="708"/>
        <w:rPr>
          <w:sz w:val="20"/>
          <w:szCs w:val="20"/>
        </w:rPr>
      </w:pPr>
      <w:r w:rsidRPr="00851D65">
        <w:rPr>
          <w:sz w:val="20"/>
          <w:szCs w:val="20"/>
        </w:rPr>
        <w:t>- Le bordereau des prix unitaires daté, signé et visé,</w:t>
      </w:r>
    </w:p>
    <w:p w:rsidR="00540CBD" w:rsidRPr="00851D65" w:rsidRDefault="00540CBD" w:rsidP="00540CBD">
      <w:pPr>
        <w:ind w:firstLine="708"/>
        <w:rPr>
          <w:sz w:val="20"/>
          <w:szCs w:val="20"/>
        </w:rPr>
      </w:pPr>
      <w:r w:rsidRPr="00851D65">
        <w:rPr>
          <w:sz w:val="20"/>
          <w:szCs w:val="20"/>
        </w:rPr>
        <w:t>- Le devis quantitatif et estimatif</w:t>
      </w:r>
      <w:r>
        <w:rPr>
          <w:sz w:val="20"/>
          <w:szCs w:val="20"/>
        </w:rPr>
        <w:t xml:space="preserve"> daté</w:t>
      </w:r>
      <w:r w:rsidRPr="00851D65">
        <w:rPr>
          <w:sz w:val="20"/>
          <w:szCs w:val="20"/>
        </w:rPr>
        <w:t>,</w:t>
      </w:r>
      <w:r>
        <w:rPr>
          <w:sz w:val="20"/>
          <w:szCs w:val="20"/>
        </w:rPr>
        <w:t xml:space="preserve"> signé et visé</w:t>
      </w:r>
      <w:r w:rsidRPr="00851D65">
        <w:rPr>
          <w:sz w:val="20"/>
          <w:szCs w:val="20"/>
        </w:rPr>
        <w:t>,</w:t>
      </w:r>
    </w:p>
    <w:p w:rsidR="00CF5C92" w:rsidRDefault="00540CBD" w:rsidP="006745E7">
      <w:pPr>
        <w:autoSpaceDE w:val="0"/>
        <w:autoSpaceDN w:val="0"/>
        <w:adjustRightInd w:val="0"/>
        <w:jc w:val="both"/>
      </w:pPr>
      <w:r w:rsidRPr="00851D65">
        <w:rPr>
          <w:sz w:val="20"/>
          <w:szCs w:val="20"/>
        </w:rPr>
        <w:t xml:space="preserve">Le </w:t>
      </w:r>
      <w:r>
        <w:rPr>
          <w:sz w:val="20"/>
          <w:szCs w:val="20"/>
        </w:rPr>
        <w:t xml:space="preserve">délai limite accordé aux soumissionnaires pour la préparation de leurs offres est fixé à </w:t>
      </w:r>
      <w:r w:rsidR="004E62CD" w:rsidRPr="004E62CD">
        <w:rPr>
          <w:b/>
          <w:bCs/>
          <w:sz w:val="20"/>
          <w:szCs w:val="20"/>
        </w:rPr>
        <w:t>quinze</w:t>
      </w:r>
      <w:r>
        <w:rPr>
          <w:b/>
          <w:bCs/>
          <w:sz w:val="20"/>
          <w:szCs w:val="20"/>
        </w:rPr>
        <w:t xml:space="preserve"> (1</w:t>
      </w:r>
      <w:r w:rsidR="004E62CD">
        <w:rPr>
          <w:b/>
          <w:bCs/>
          <w:sz w:val="20"/>
          <w:szCs w:val="20"/>
        </w:rPr>
        <w:t>5</w:t>
      </w:r>
      <w:r w:rsidRPr="00604DF1">
        <w:rPr>
          <w:b/>
          <w:bCs/>
          <w:sz w:val="20"/>
          <w:szCs w:val="20"/>
        </w:rPr>
        <w:t>) jours</w:t>
      </w:r>
      <w:r>
        <w:rPr>
          <w:sz w:val="20"/>
          <w:szCs w:val="20"/>
        </w:rPr>
        <w:t xml:space="preserve"> à partir de la date d’affichage de l’avis de consultation. Le dépôt des offres se fera au dernier jour de la durée de préparation des offres le                 </w:t>
      </w:r>
      <w:r w:rsidR="0057414D" w:rsidRPr="0057414D">
        <w:rPr>
          <w:b/>
          <w:bCs/>
          <w:sz w:val="20"/>
          <w:szCs w:val="20"/>
        </w:rPr>
        <w:t>30</w:t>
      </w:r>
      <w:r w:rsidRPr="00942F19">
        <w:rPr>
          <w:b/>
          <w:bCs/>
          <w:sz w:val="20"/>
          <w:szCs w:val="20"/>
        </w:rPr>
        <w:t xml:space="preserve"> </w:t>
      </w:r>
      <w:r w:rsidR="003A55E3">
        <w:rPr>
          <w:b/>
          <w:bCs/>
          <w:sz w:val="20"/>
          <w:szCs w:val="20"/>
        </w:rPr>
        <w:t>septembre</w:t>
      </w:r>
      <w:r w:rsidRPr="00942F19">
        <w:rPr>
          <w:b/>
          <w:bCs/>
          <w:sz w:val="20"/>
          <w:szCs w:val="20"/>
        </w:rPr>
        <w:t xml:space="preserve"> 2015</w:t>
      </w:r>
      <w:r>
        <w:rPr>
          <w:sz w:val="20"/>
          <w:szCs w:val="20"/>
        </w:rPr>
        <w:t xml:space="preserve"> au plus tard à </w:t>
      </w:r>
      <w:r w:rsidRPr="00942F19">
        <w:rPr>
          <w:b/>
          <w:bCs/>
          <w:sz w:val="20"/>
          <w:szCs w:val="20"/>
        </w:rPr>
        <w:t>14h 00</w:t>
      </w:r>
      <w:r>
        <w:rPr>
          <w:sz w:val="20"/>
          <w:szCs w:val="20"/>
        </w:rPr>
        <w:t>,</w:t>
      </w:r>
      <w:r w:rsidRPr="00851D65">
        <w:rPr>
          <w:sz w:val="20"/>
          <w:szCs w:val="20"/>
        </w:rPr>
        <w:t xml:space="preserve"> au niveau du Vice Rectorat du Développement, de la Prospective et de l’Orientation de l’Université Ibn Khaldoun de Tiaret</w:t>
      </w:r>
      <w:r>
        <w:rPr>
          <w:sz w:val="20"/>
          <w:szCs w:val="20"/>
        </w:rPr>
        <w:t xml:space="preserve">, </w:t>
      </w:r>
      <w:r w:rsidRPr="00851D65">
        <w:rPr>
          <w:sz w:val="20"/>
          <w:szCs w:val="20"/>
        </w:rPr>
        <w:t>Les soumissionnaires sont cordialement invités à assister à la séance d’ouverture des plis</w:t>
      </w:r>
      <w:r>
        <w:rPr>
          <w:sz w:val="20"/>
          <w:szCs w:val="20"/>
        </w:rPr>
        <w:t xml:space="preserve"> qui aura lieu le même</w:t>
      </w:r>
      <w:r w:rsidRPr="00851D65">
        <w:rPr>
          <w:sz w:val="20"/>
          <w:szCs w:val="20"/>
        </w:rPr>
        <w:t xml:space="preserve"> jour à </w:t>
      </w:r>
      <w:r w:rsidRPr="00851D65">
        <w:rPr>
          <w:b/>
          <w:bCs/>
          <w:sz w:val="20"/>
          <w:szCs w:val="20"/>
        </w:rPr>
        <w:t>14h 00</w:t>
      </w:r>
      <w:r>
        <w:rPr>
          <w:b/>
          <w:bCs/>
          <w:sz w:val="20"/>
          <w:szCs w:val="20"/>
        </w:rPr>
        <w:t xml:space="preserve"> </w:t>
      </w:r>
      <w:r w:rsidRPr="00597FDF">
        <w:rPr>
          <w:sz w:val="20"/>
          <w:szCs w:val="20"/>
        </w:rPr>
        <w:t>et au lieu du dépôt</w:t>
      </w:r>
      <w:r w:rsidRPr="00851D65">
        <w:rPr>
          <w:sz w:val="20"/>
          <w:szCs w:val="20"/>
        </w:rPr>
        <w:t xml:space="preserve">. Les offres incomplètes ou non conformes aux spécifications du cahier des charges sont considérées comme nulles et rejetées par la commission compétente. Les offres sont valables durant la période de leur préparation et y resteront valables pour un délai de </w:t>
      </w:r>
      <w:r w:rsidRPr="00942F19">
        <w:rPr>
          <w:b/>
          <w:bCs/>
          <w:sz w:val="20"/>
          <w:szCs w:val="20"/>
        </w:rPr>
        <w:t>trois (03) mois</w:t>
      </w:r>
      <w:r>
        <w:rPr>
          <w:sz w:val="20"/>
          <w:szCs w:val="20"/>
        </w:rPr>
        <w:t xml:space="preserve"> à compter de la date d’ouverture des plis</w:t>
      </w:r>
      <w:r w:rsidRPr="00851D65">
        <w:rPr>
          <w:sz w:val="20"/>
          <w:szCs w:val="20"/>
        </w:rPr>
        <w:t>.</w:t>
      </w:r>
      <w:bookmarkStart w:id="0" w:name="_GoBack"/>
      <w:bookmarkEnd w:id="0"/>
    </w:p>
    <w:sectPr w:rsidR="00CF5C92" w:rsidSect="00971BCD">
      <w:pgSz w:w="11906" w:h="16838"/>
      <w:pgMar w:top="180" w:right="991"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8F"/>
    <w:rsid w:val="00315E52"/>
    <w:rsid w:val="003A55E3"/>
    <w:rsid w:val="00414791"/>
    <w:rsid w:val="004E62CD"/>
    <w:rsid w:val="00540CBD"/>
    <w:rsid w:val="0057414D"/>
    <w:rsid w:val="006745E7"/>
    <w:rsid w:val="006D7486"/>
    <w:rsid w:val="007A1414"/>
    <w:rsid w:val="00813AD7"/>
    <w:rsid w:val="00884953"/>
    <w:rsid w:val="00CF5C92"/>
    <w:rsid w:val="00E43BDC"/>
    <w:rsid w:val="00FC2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BD"/>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3BDC"/>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3BDC"/>
    <w:rPr>
      <w:rFonts w:ascii="Segoe UI" w:eastAsia="Times New Roman" w:hAnsi="Segoe UI" w:cs="Segoe UI"/>
      <w:sz w:val="18"/>
      <w:szCs w:val="1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BD"/>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3BDC"/>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3BDC"/>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793</Words>
  <Characters>4362</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HP</cp:lastModifiedBy>
  <cp:revision>13</cp:revision>
  <cp:lastPrinted>2015-09-16T13:57:00Z</cp:lastPrinted>
  <dcterms:created xsi:type="dcterms:W3CDTF">2015-09-14T08:58:00Z</dcterms:created>
  <dcterms:modified xsi:type="dcterms:W3CDTF">2015-09-16T14:09:00Z</dcterms:modified>
</cp:coreProperties>
</file>