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158115</wp:posOffset>
            </wp:positionV>
            <wp:extent cx="1390650" cy="1076325"/>
            <wp:effectExtent l="19050" t="0" r="0" b="0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158115</wp:posOffset>
            </wp:positionV>
            <wp:extent cx="1447800" cy="1076325"/>
            <wp:effectExtent l="19050" t="0" r="0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وزارة</w:t>
      </w:r>
      <w:proofErr w:type="gram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جـــــــامعــة ابــــن خـلــــــدون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تــيــــــــــارت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مــعهـــــــد علــــــوم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الـبيطـــرة</w:t>
      </w:r>
      <w:proofErr w:type="spellEnd"/>
    </w:p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sz w:val="40"/>
          <w:szCs w:val="40"/>
          <w:lang w:bidi="ar-SA"/>
        </w:rPr>
      </w:pPr>
    </w:p>
    <w:p w:rsidR="005F61FA" w:rsidRPr="00BE7949" w:rsidRDefault="005F61FA" w:rsidP="005F61FA">
      <w:pPr>
        <w:tabs>
          <w:tab w:val="left" w:pos="7618"/>
          <w:tab w:val="right" w:pos="10348"/>
        </w:tabs>
        <w:bidi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proofErr w:type="spellStart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>تيارت</w:t>
      </w:r>
      <w:proofErr w:type="spellEnd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 xml:space="preserve"> </w:t>
      </w:r>
      <w:proofErr w:type="spellStart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>في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: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22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09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/2015</w:t>
      </w:r>
    </w:p>
    <w:p w:rsidR="005F61FA" w:rsidRPr="00BE7949" w:rsidRDefault="005F61FA" w:rsidP="005F61FA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اعلان عن منح مؤقت</w:t>
      </w:r>
    </w:p>
    <w:p w:rsidR="005F61FA" w:rsidRPr="00325B4F" w:rsidRDefault="005F61FA" w:rsidP="005F61FA">
      <w:pPr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5F61FA" w:rsidRPr="00BE7949" w:rsidRDefault="005F61FA" w:rsidP="00906376">
      <w:pPr>
        <w:pBdr>
          <w:bottom w:val="single" w:sz="4" w:space="11" w:color="auto"/>
        </w:pBdr>
        <w:bidi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SA"/>
        </w:rPr>
      </w:pPr>
      <w:r w:rsidRPr="00BE7949">
        <w:rPr>
          <w:rFonts w:ascii="Traditional Arabic" w:eastAsia="Times New Roman" w:hAnsi="Traditional Arabic" w:cs="Traditional Arabic" w:hint="cs"/>
          <w:b/>
          <w:bCs/>
          <w:color w:val="000000"/>
          <w:sz w:val="24"/>
          <w:szCs w:val="24"/>
          <w:rtl/>
          <w:lang w:bidi="ar-SA"/>
        </w:rPr>
        <w:t xml:space="preserve">            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طبقــا للترتيبـا</w:t>
      </w:r>
      <w:r w:rsidRPr="00BE794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المـــادة125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مـن المرسـوم الرئـاسـي  رقـم  10/236 المــؤرخ فـي 07/10/2010 المتضمــن  تنظيـم الصفقــات العموميــة ،فــان مدير 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يعلــم كافة المساهمين  فــي الاستشـارة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رقم </w:t>
      </w:r>
      <w:proofErr w:type="spellStart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064ED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27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/</w:t>
      </w:r>
      <w:proofErr w:type="spellEnd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2015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المفتوحــة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 التي تــم الإعلان عنهـا عــلى مستـوى الموقــع الالكترونــي لجامعــة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تيــارت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،معهد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والغرفة التجارية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أنــه بعــد الدراســة و التقييــم </w:t>
      </w:r>
      <w:r w:rsidR="0090637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تم منح الاستشارة للمتعهد على أنه أحسن عرض مؤقتا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كمــا </w:t>
      </w:r>
      <w:r w:rsidR="0090637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هو موضح في الجدول التالي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:         </w:t>
      </w:r>
    </w:p>
    <w:tbl>
      <w:tblPr>
        <w:bidiVisual/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33"/>
        <w:gridCol w:w="1473"/>
        <w:gridCol w:w="2546"/>
        <w:gridCol w:w="948"/>
        <w:gridCol w:w="1118"/>
        <w:gridCol w:w="1371"/>
        <w:gridCol w:w="1585"/>
      </w:tblGrid>
      <w:tr w:rsidR="00734D47" w:rsidTr="00906376">
        <w:trPr>
          <w:trHeight w:val="600"/>
        </w:trPr>
        <w:tc>
          <w:tcPr>
            <w:tcW w:w="1843" w:type="dxa"/>
            <w:shd w:val="clear" w:color="auto" w:fill="BFBFBF" w:themeFill="background1" w:themeFillShade="BF"/>
          </w:tcPr>
          <w:p w:rsidR="00906376" w:rsidRPr="006E28FC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عنوان العملية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06376" w:rsidRPr="006E28FC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تعيين المتعهدين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06376" w:rsidRPr="006E28FC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 xml:space="preserve">رقم التعريف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الجبائي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:rsidR="00906376" w:rsidRPr="006E28FC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التقنية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06376" w:rsidRPr="006E28FC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المالية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06376" w:rsidRPr="006E28FC" w:rsidRDefault="00906376" w:rsidP="00064EDA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</w:t>
            </w:r>
            <w:proofErr w:type="gramEnd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الإجمالية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06376" w:rsidRPr="006E28FC" w:rsidRDefault="00906376" w:rsidP="00906376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السعر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الوحدوي</w:t>
            </w:r>
          </w:p>
        </w:tc>
      </w:tr>
      <w:tr w:rsidR="00734D47" w:rsidTr="00906376">
        <w:trPr>
          <w:trHeight w:val="1485"/>
        </w:trPr>
        <w:tc>
          <w:tcPr>
            <w:tcW w:w="1843" w:type="dxa"/>
          </w:tcPr>
          <w:p w:rsidR="00906376" w:rsidRPr="005F61FA" w:rsidRDefault="00906376" w:rsidP="0078343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val="fr-FR" w:bidi="ar-DZ"/>
              </w:rPr>
            </w:pPr>
            <w:proofErr w:type="spellStart"/>
            <w:r w:rsidRPr="005F61F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نفقات</w:t>
            </w:r>
            <w:proofErr w:type="spellEnd"/>
            <w:r w:rsidRPr="005F61F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5F61F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التعاون</w:t>
            </w:r>
            <w:proofErr w:type="spellEnd"/>
            <w:r w:rsidRPr="005F61F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5F61F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الجامعي</w:t>
            </w:r>
            <w:proofErr w:type="spellEnd"/>
          </w:p>
        </w:tc>
        <w:tc>
          <w:tcPr>
            <w:tcW w:w="1559" w:type="dxa"/>
          </w:tcPr>
          <w:p w:rsidR="00906376" w:rsidRPr="00BB5F96" w:rsidRDefault="00906376" w:rsidP="005F61F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DZ"/>
              </w:rPr>
              <w:t xml:space="preserve">فندق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DZ"/>
              </w:rPr>
              <w:t>تاقدمت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</w:t>
            </w:r>
          </w:p>
        </w:tc>
        <w:tc>
          <w:tcPr>
            <w:tcW w:w="2552" w:type="dxa"/>
          </w:tcPr>
          <w:p w:rsidR="00906376" w:rsidRPr="00BB5F96" w:rsidRDefault="00906376" w:rsidP="0078343F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000714042291636</w:t>
            </w:r>
          </w:p>
        </w:tc>
        <w:tc>
          <w:tcPr>
            <w:tcW w:w="992" w:type="dxa"/>
          </w:tcPr>
          <w:p w:rsidR="00906376" w:rsidRPr="00BB5F96" w:rsidRDefault="00906376" w:rsidP="00301CC1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DZ"/>
              </w:rPr>
              <w:t>70ن</w:t>
            </w:r>
            <w:proofErr w:type="spellEnd"/>
          </w:p>
        </w:tc>
        <w:tc>
          <w:tcPr>
            <w:tcW w:w="1134" w:type="dxa"/>
          </w:tcPr>
          <w:p w:rsidR="00906376" w:rsidRPr="00BB5F96" w:rsidRDefault="00906376" w:rsidP="007200B4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13.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78ن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1418" w:type="dxa"/>
          </w:tcPr>
          <w:p w:rsidR="00906376" w:rsidRPr="00BB5F96" w:rsidRDefault="00906376" w:rsidP="00301CC1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83.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78ن</w:t>
            </w:r>
            <w:proofErr w:type="spellEnd"/>
          </w:p>
        </w:tc>
        <w:tc>
          <w:tcPr>
            <w:tcW w:w="1276" w:type="dxa"/>
          </w:tcPr>
          <w:p w:rsidR="00906376" w:rsidRDefault="00906376" w:rsidP="00734D47">
            <w:pPr>
              <w:bidi/>
              <w:jc w:val="both"/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4621BE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u w:val="single"/>
                <w:rtl/>
                <w:lang w:bidi="ar-SA"/>
              </w:rPr>
              <w:t>للغرفة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:</w:t>
            </w:r>
            <w:r w:rsidRPr="00906376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2616.</w:t>
            </w:r>
            <w:proofErr w:type="spellStart"/>
            <w:r w:rsidRPr="00906376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82</w:t>
            </w:r>
            <w:r w:rsidR="00734D47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دج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</w:p>
          <w:p w:rsidR="00734D47" w:rsidRPr="00BB5F96" w:rsidRDefault="00734D47" w:rsidP="00734D47">
            <w:pPr>
              <w:bidi/>
              <w:jc w:val="both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proofErr w:type="gramStart"/>
            <w:r w:rsidRPr="00734D47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ا</w:t>
            </w:r>
            <w:r w:rsidRPr="004621BE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u w:val="single"/>
                <w:rtl/>
                <w:lang w:bidi="ar-SA"/>
              </w:rPr>
              <w:t>لوجبة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:1682.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24دج</w:t>
            </w:r>
            <w:proofErr w:type="spellEnd"/>
          </w:p>
        </w:tc>
      </w:tr>
    </w:tbl>
    <w:p w:rsidR="005F61FA" w:rsidRPr="00BE7949" w:rsidRDefault="005F61FA" w:rsidP="005F61FA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</w:rPr>
        <w:t xml:space="preserve"> </w:t>
      </w:r>
      <w:proofErr w:type="spellStart"/>
      <w:r w:rsidRPr="00BE7949">
        <w:rPr>
          <w:rFonts w:cs="Arabic Transparent" w:hint="cs"/>
          <w:b/>
          <w:bCs/>
          <w:rtl/>
          <w:lang w:val="ru-RU"/>
        </w:rPr>
        <w:t>*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يمكــن للمتعــاهدين الاطــلاع علــى نتـائــج العــروض التقنيــة و المـاليــة فــي أجــال أقصــاه 03 أيـــام  ابتــداء مــن أول يــوم لنشــر هــذا الإعــلان(المــادة 125 مــن المرســوم الرئــاســي المذكــور أعــــلاه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5F61FA" w:rsidRPr="00BE7949" w:rsidRDefault="005F61FA" w:rsidP="005F61FA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كــل متـعهد يع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ــرض علــى هذه النتائــج فبإمكانــه تقديــم طعــن فـي أجـال أقصــاه 10 أيــام ابتــداء مـن أول يــوم لنشــر هــذا الإعــلان طبقــا لأحكــام المــادة 114 مــن المرســوم الرئاســي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المـذكـو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ر أعـــلاه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</w:p>
    <w:p w:rsidR="005F61FA" w:rsidRPr="00BE7949" w:rsidRDefault="005F61FA" w:rsidP="005F61FA">
      <w:pPr>
        <w:bidi/>
        <w:rPr>
          <w:rFonts w:ascii="Traditional Arabic" w:eastAsia="Times New Roman" w:hAnsi="Traditional Arabic" w:cs="Traditional Arabic"/>
          <w:b/>
          <w:bCs/>
          <w:color w:val="23292F"/>
          <w:sz w:val="36"/>
          <w:szCs w:val="36"/>
          <w:rtl/>
          <w:lang w:bidi="ar-DZ"/>
        </w:rPr>
      </w:pPr>
    </w:p>
    <w:p w:rsidR="005F61FA" w:rsidRDefault="005F61FA" w:rsidP="005F61FA">
      <w:pPr>
        <w:bidi/>
        <w:rPr>
          <w:rFonts w:ascii="Traditional Arabic" w:eastAsia="Times New Roman" w:hAnsi="Traditional Arabic" w:cs="Traditional Arabic"/>
          <w:color w:val="23292F"/>
          <w:sz w:val="36"/>
          <w:szCs w:val="36"/>
          <w:rtl/>
          <w:lang w:bidi="ar-SA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  <w:lang w:bidi="ar-SA"/>
        </w:rPr>
        <w:t xml:space="preserve">                                       </w:t>
      </w:r>
    </w:p>
    <w:p w:rsidR="005F61FA" w:rsidRPr="00DA00DD" w:rsidRDefault="00DA00DD" w:rsidP="00DA00DD">
      <w:pPr>
        <w:jc w:val="center"/>
        <w:rPr>
          <w:rFonts w:hint="cs"/>
          <w:sz w:val="72"/>
          <w:szCs w:val="72"/>
          <w:lang w:bidi="ar-DZ"/>
        </w:rPr>
      </w:pPr>
      <w:proofErr w:type="gramStart"/>
      <w:r w:rsidRPr="00DA00DD">
        <w:rPr>
          <w:rFonts w:hint="cs"/>
          <w:sz w:val="72"/>
          <w:szCs w:val="72"/>
          <w:rtl/>
          <w:lang w:bidi="ar-DZ"/>
        </w:rPr>
        <w:t>المدي</w:t>
      </w:r>
      <w:r>
        <w:rPr>
          <w:rFonts w:hint="cs"/>
          <w:sz w:val="72"/>
          <w:szCs w:val="72"/>
          <w:rtl/>
          <w:lang w:bidi="ar-DZ"/>
        </w:rPr>
        <w:t>ــــــ</w:t>
      </w:r>
      <w:r w:rsidRPr="00DA00DD">
        <w:rPr>
          <w:rFonts w:hint="cs"/>
          <w:sz w:val="72"/>
          <w:szCs w:val="72"/>
          <w:rtl/>
          <w:lang w:bidi="ar-DZ"/>
        </w:rPr>
        <w:t>ر</w:t>
      </w:r>
      <w:proofErr w:type="gramEnd"/>
      <w:r w:rsidR="004621BE">
        <w:rPr>
          <w:rFonts w:hint="cs"/>
          <w:sz w:val="72"/>
          <w:szCs w:val="72"/>
          <w:rtl/>
          <w:lang w:bidi="ar-DZ"/>
        </w:rPr>
        <w:t xml:space="preserve"> </w:t>
      </w:r>
    </w:p>
    <w:p w:rsidR="005F61FA" w:rsidRDefault="005F61FA" w:rsidP="005F61FA">
      <w:pPr>
        <w:bidi/>
        <w:rPr>
          <w:lang w:bidi="ar-DZ"/>
        </w:rPr>
      </w:pPr>
    </w:p>
    <w:p w:rsidR="00425A65" w:rsidRDefault="00425A65"/>
    <w:sectPr w:rsidR="00425A65" w:rsidSect="00293CE4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1FA"/>
    <w:rsid w:val="00064EDA"/>
    <w:rsid w:val="00301CC1"/>
    <w:rsid w:val="00425A65"/>
    <w:rsid w:val="004621BE"/>
    <w:rsid w:val="005F61FA"/>
    <w:rsid w:val="007200B4"/>
    <w:rsid w:val="00734D47"/>
    <w:rsid w:val="00906376"/>
    <w:rsid w:val="00DA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FA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61FA"/>
    <w:pPr>
      <w:bidi/>
      <w:spacing w:after="0" w:line="240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univ-tiaret.dz/images/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6F3F0-781F-487D-9061-D26B419F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10</cp:revision>
  <cp:lastPrinted>2015-09-21T12:25:00Z</cp:lastPrinted>
  <dcterms:created xsi:type="dcterms:W3CDTF">2015-09-21T12:13:00Z</dcterms:created>
  <dcterms:modified xsi:type="dcterms:W3CDTF">2015-09-21T12:59:00Z</dcterms:modified>
</cp:coreProperties>
</file>