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E73" w:rsidRPr="00F46DE6" w:rsidRDefault="00B54E73" w:rsidP="00B54E73">
      <w:pPr>
        <w:jc w:val="center"/>
        <w:rPr>
          <w:b/>
          <w:bCs/>
        </w:rPr>
      </w:pPr>
      <w:r w:rsidRPr="00F46DE6">
        <w:rPr>
          <w:b/>
          <w:bCs/>
        </w:rPr>
        <w:t>REPUBLIQUE ALGERIENNE DEMOCRATIQUE ET POPULAIRE</w:t>
      </w:r>
    </w:p>
    <w:p w:rsidR="00B54E73" w:rsidRPr="00F46DE6" w:rsidRDefault="00B54E73" w:rsidP="00B54E73">
      <w:pPr>
        <w:jc w:val="center"/>
        <w:rPr>
          <w:b/>
          <w:bCs/>
        </w:rPr>
      </w:pPr>
      <w:r w:rsidRPr="00F46DE6">
        <w:rPr>
          <w:b/>
          <w:bCs/>
        </w:rPr>
        <w:t>UNIVERSITE IBN KHALDOUN DE TIARET</w:t>
      </w:r>
    </w:p>
    <w:p w:rsidR="00B54E73" w:rsidRPr="00F46DE6" w:rsidRDefault="00B54E73" w:rsidP="00B54E73">
      <w:pPr>
        <w:jc w:val="center"/>
        <w:rPr>
          <w:b/>
          <w:bCs/>
        </w:rPr>
      </w:pPr>
      <w:r w:rsidRPr="00F46DE6">
        <w:rPr>
          <w:b/>
          <w:bCs/>
        </w:rPr>
        <w:t>FACULTE DES SCIENCES APPLIQUEES</w:t>
      </w:r>
    </w:p>
    <w:p w:rsidR="00B54E73" w:rsidRDefault="00B54E73" w:rsidP="00B54E73">
      <w:pPr>
        <w:jc w:val="center"/>
        <w:rPr>
          <w:b/>
          <w:bCs/>
        </w:rPr>
      </w:pPr>
      <w:r>
        <w:rPr>
          <w:b/>
          <w:bCs/>
        </w:rPr>
        <w:t xml:space="preserve"> </w:t>
      </w:r>
    </w:p>
    <w:p w:rsidR="00B54E73" w:rsidRPr="00F46DE6" w:rsidRDefault="00B54E73" w:rsidP="00B54E73">
      <w:pPr>
        <w:jc w:val="center"/>
        <w:rPr>
          <w:b/>
          <w:bCs/>
        </w:rPr>
      </w:pPr>
      <w:r w:rsidRPr="00F46DE6">
        <w:rPr>
          <w:b/>
          <w:bCs/>
        </w:rPr>
        <w:t>AVIS D’ATTRIBUTION PROVISOIRE</w:t>
      </w:r>
      <w:r>
        <w:rPr>
          <w:b/>
          <w:bCs/>
        </w:rPr>
        <w:t xml:space="preserve"> RECTIFICATIF</w:t>
      </w:r>
      <w:r w:rsidRPr="00F46DE6">
        <w:rPr>
          <w:b/>
          <w:bCs/>
          <w:rtl/>
        </w:rPr>
        <w:t xml:space="preserve"> </w:t>
      </w:r>
      <w:r w:rsidRPr="00F46DE6">
        <w:rPr>
          <w:b/>
          <w:bCs/>
        </w:rPr>
        <w:t>N° 0</w:t>
      </w:r>
      <w:r>
        <w:rPr>
          <w:b/>
          <w:bCs/>
        </w:rPr>
        <w:t>6</w:t>
      </w:r>
      <w:r w:rsidRPr="00F46DE6">
        <w:rPr>
          <w:b/>
          <w:bCs/>
        </w:rPr>
        <w:t>/2016</w:t>
      </w:r>
    </w:p>
    <w:p w:rsidR="00B54E73" w:rsidRDefault="00B54E73" w:rsidP="00B54E73">
      <w:pPr>
        <w:jc w:val="center"/>
        <w:rPr>
          <w:b/>
          <w:bCs/>
        </w:rPr>
      </w:pPr>
    </w:p>
    <w:p w:rsidR="00B54E73" w:rsidRPr="00F46DE6" w:rsidRDefault="00B54E73" w:rsidP="00B54E73">
      <w:pPr>
        <w:jc w:val="center"/>
        <w:rPr>
          <w:b/>
          <w:bCs/>
        </w:rPr>
      </w:pPr>
      <w:r w:rsidRPr="00F46DE6">
        <w:rPr>
          <w:b/>
          <w:bCs/>
        </w:rPr>
        <w:t>«Acquisition de quincaillerie»</w:t>
      </w:r>
    </w:p>
    <w:p w:rsidR="00B54E73" w:rsidRPr="00F46DE6" w:rsidRDefault="00B54E73" w:rsidP="00B54E73">
      <w:pPr>
        <w:jc w:val="center"/>
        <w:rPr>
          <w:b/>
          <w:bCs/>
        </w:rPr>
      </w:pPr>
      <w:proofErr w:type="gramStart"/>
      <w:r w:rsidRPr="00F46DE6">
        <w:rPr>
          <w:b/>
          <w:bCs/>
        </w:rPr>
        <w:t>au</w:t>
      </w:r>
      <w:proofErr w:type="gramEnd"/>
      <w:r w:rsidRPr="00F46DE6">
        <w:rPr>
          <w:b/>
          <w:bCs/>
        </w:rPr>
        <w:t xml:space="preserve"> profit  de la faculté des sciences appliquées de l’Université Ibn Khaldoun de Tiaret»</w:t>
      </w:r>
    </w:p>
    <w:p w:rsidR="00B54E73" w:rsidRPr="00F46DE6" w:rsidRDefault="00B54E73" w:rsidP="00B54E73">
      <w:pPr>
        <w:jc w:val="both"/>
        <w:rPr>
          <w:rtl/>
        </w:rPr>
      </w:pPr>
    </w:p>
    <w:p w:rsidR="00B54E73" w:rsidRPr="00F46DE6" w:rsidRDefault="00B54E73" w:rsidP="00B54E73">
      <w:pPr>
        <w:jc w:val="both"/>
        <w:rPr>
          <w:rtl/>
        </w:rPr>
      </w:pPr>
      <w:r w:rsidRPr="00F46DE6">
        <w:t>Conformément aux dispositions de l’article 65 et 73 du  Décret présidentiel n° 15-247 du 2 Dhou El Hidja 1436 correspondant au 16 septembre 2015 portant réglementation des marchés publics, la faculté des sciences appliquées de  l’Université Ibn Khaldoun de Tiaret informe l’ensemble des soumissionnaires, ayant participé à la consultation n°04/FSA/2016, lancée le 04-05-2016, relative à l’opération intitulée «Acquisition de quincaillerie»</w:t>
      </w:r>
      <w:r w:rsidRPr="00F46DE6">
        <w:rPr>
          <w:rFonts w:ascii="Bell MT" w:hAnsi="Bell MT" w:cs="Tahoma"/>
          <w:sz w:val="32"/>
          <w:szCs w:val="32"/>
        </w:rPr>
        <w:t xml:space="preserve"> </w:t>
      </w:r>
      <w:r w:rsidRPr="00F46DE6">
        <w:t>au profit  de la faculté des sciences appliquées de l’Université Ibn Khaldoun de Tiaret, qu</w:t>
      </w:r>
      <w:r>
        <w:t xml:space="preserve">e l’avis d’attribution provisoire </w:t>
      </w:r>
      <w:r w:rsidR="009378CD">
        <w:t xml:space="preserve">n°03/2016 </w:t>
      </w:r>
      <w:r>
        <w:t>du 29-05-2016 est rectifie comme suit :</w:t>
      </w:r>
    </w:p>
    <w:p w:rsidR="00B54E73" w:rsidRPr="00F46DE6" w:rsidRDefault="00B54E73" w:rsidP="00B54E73">
      <w:pPr>
        <w:jc w:val="both"/>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9"/>
        <w:gridCol w:w="2376"/>
        <w:gridCol w:w="2031"/>
        <w:gridCol w:w="2032"/>
        <w:gridCol w:w="2032"/>
        <w:gridCol w:w="2032"/>
        <w:gridCol w:w="2032"/>
        <w:gridCol w:w="1607"/>
      </w:tblGrid>
      <w:tr w:rsidR="00B54E73" w:rsidRPr="00F46DE6" w:rsidTr="00B54E73">
        <w:trPr>
          <w:trHeight w:val="409"/>
        </w:trPr>
        <w:tc>
          <w:tcPr>
            <w:tcW w:w="459" w:type="dxa"/>
            <w:shd w:val="clear" w:color="auto" w:fill="E6E6E6"/>
            <w:vAlign w:val="center"/>
          </w:tcPr>
          <w:p w:rsidR="00B54E73" w:rsidRPr="00F46DE6" w:rsidRDefault="00B54E73" w:rsidP="009378CD">
            <w:pPr>
              <w:spacing w:line="360" w:lineRule="auto"/>
              <w:ind w:left="-108"/>
              <w:jc w:val="center"/>
              <w:rPr>
                <w:b/>
                <w:bCs/>
                <w:sz w:val="20"/>
                <w:szCs w:val="20"/>
              </w:rPr>
            </w:pPr>
            <w:r w:rsidRPr="00F46DE6">
              <w:rPr>
                <w:b/>
                <w:bCs/>
                <w:sz w:val="20"/>
                <w:szCs w:val="20"/>
              </w:rPr>
              <w:t>N° lot</w:t>
            </w:r>
          </w:p>
        </w:tc>
        <w:tc>
          <w:tcPr>
            <w:tcW w:w="2376" w:type="dxa"/>
            <w:shd w:val="clear" w:color="auto" w:fill="E6E6E6"/>
            <w:vAlign w:val="center"/>
          </w:tcPr>
          <w:p w:rsidR="00B54E73" w:rsidRPr="00F46DE6" w:rsidRDefault="00B54E73" w:rsidP="009378CD">
            <w:pPr>
              <w:ind w:left="-108"/>
              <w:jc w:val="center"/>
              <w:rPr>
                <w:b/>
                <w:bCs/>
                <w:sz w:val="20"/>
                <w:szCs w:val="20"/>
              </w:rPr>
            </w:pPr>
            <w:r w:rsidRPr="00F46DE6">
              <w:rPr>
                <w:b/>
                <w:bCs/>
                <w:sz w:val="20"/>
                <w:szCs w:val="20"/>
              </w:rPr>
              <w:t>Soumissionnaire</w:t>
            </w:r>
          </w:p>
        </w:tc>
        <w:tc>
          <w:tcPr>
            <w:tcW w:w="2031" w:type="dxa"/>
            <w:shd w:val="clear" w:color="auto" w:fill="E6E6E6"/>
            <w:vAlign w:val="center"/>
          </w:tcPr>
          <w:p w:rsidR="00B54E73" w:rsidRPr="00F46DE6" w:rsidRDefault="00B54E73" w:rsidP="009378CD">
            <w:pPr>
              <w:ind w:left="-108" w:right="-108"/>
              <w:jc w:val="center"/>
              <w:rPr>
                <w:b/>
                <w:bCs/>
                <w:sz w:val="20"/>
                <w:szCs w:val="20"/>
              </w:rPr>
            </w:pPr>
            <w:r w:rsidRPr="00F46DE6">
              <w:rPr>
                <w:b/>
                <w:bCs/>
                <w:sz w:val="20"/>
                <w:szCs w:val="20"/>
              </w:rPr>
              <w:t xml:space="preserve">Note Technique </w:t>
            </w:r>
          </w:p>
        </w:tc>
        <w:tc>
          <w:tcPr>
            <w:tcW w:w="2032" w:type="dxa"/>
            <w:shd w:val="clear" w:color="auto" w:fill="E6E6E6"/>
            <w:vAlign w:val="center"/>
          </w:tcPr>
          <w:p w:rsidR="00B54E73" w:rsidRPr="00F46DE6" w:rsidRDefault="00B54E73" w:rsidP="009378CD">
            <w:pPr>
              <w:jc w:val="center"/>
              <w:rPr>
                <w:b/>
                <w:bCs/>
                <w:sz w:val="20"/>
                <w:szCs w:val="20"/>
              </w:rPr>
            </w:pPr>
            <w:r w:rsidRPr="00F46DE6">
              <w:rPr>
                <w:b/>
                <w:bCs/>
                <w:sz w:val="20"/>
                <w:szCs w:val="20"/>
              </w:rPr>
              <w:t>Note Financière</w:t>
            </w:r>
          </w:p>
        </w:tc>
        <w:tc>
          <w:tcPr>
            <w:tcW w:w="2032" w:type="dxa"/>
            <w:shd w:val="clear" w:color="auto" w:fill="E6E6E6"/>
            <w:vAlign w:val="center"/>
          </w:tcPr>
          <w:p w:rsidR="00B54E73" w:rsidRPr="00F46DE6" w:rsidRDefault="00B54E73" w:rsidP="009378CD">
            <w:pPr>
              <w:ind w:left="-108" w:right="-108"/>
              <w:jc w:val="center"/>
              <w:rPr>
                <w:b/>
                <w:bCs/>
                <w:sz w:val="20"/>
                <w:szCs w:val="20"/>
              </w:rPr>
            </w:pPr>
            <w:r w:rsidRPr="00F46DE6">
              <w:rPr>
                <w:b/>
                <w:bCs/>
                <w:sz w:val="20"/>
                <w:szCs w:val="20"/>
              </w:rPr>
              <w:t>Montant Proposé</w:t>
            </w:r>
          </w:p>
          <w:p w:rsidR="00B54E73" w:rsidRPr="00F46DE6" w:rsidRDefault="00B54E73" w:rsidP="009378CD">
            <w:pPr>
              <w:ind w:left="-108" w:right="-108"/>
              <w:jc w:val="center"/>
              <w:rPr>
                <w:b/>
                <w:bCs/>
                <w:sz w:val="20"/>
                <w:szCs w:val="20"/>
              </w:rPr>
            </w:pPr>
            <w:r w:rsidRPr="00F46DE6">
              <w:rPr>
                <w:b/>
                <w:bCs/>
                <w:sz w:val="20"/>
                <w:szCs w:val="20"/>
              </w:rPr>
              <w:t>DA (T.T.C)</w:t>
            </w:r>
          </w:p>
        </w:tc>
        <w:tc>
          <w:tcPr>
            <w:tcW w:w="2032" w:type="dxa"/>
            <w:shd w:val="clear" w:color="auto" w:fill="E6E6E6"/>
            <w:vAlign w:val="center"/>
          </w:tcPr>
          <w:p w:rsidR="00B54E73" w:rsidRPr="00F46DE6" w:rsidRDefault="00B54E73" w:rsidP="009378CD">
            <w:pPr>
              <w:ind w:left="-108" w:right="-108"/>
              <w:jc w:val="center"/>
              <w:rPr>
                <w:b/>
                <w:bCs/>
                <w:sz w:val="20"/>
                <w:szCs w:val="20"/>
              </w:rPr>
            </w:pPr>
            <w:r w:rsidRPr="00F46DE6">
              <w:rPr>
                <w:b/>
                <w:bCs/>
                <w:sz w:val="20"/>
                <w:szCs w:val="20"/>
              </w:rPr>
              <w:t>Montant corrigé</w:t>
            </w:r>
          </w:p>
        </w:tc>
        <w:tc>
          <w:tcPr>
            <w:tcW w:w="2032" w:type="dxa"/>
            <w:shd w:val="clear" w:color="auto" w:fill="E6E6E6"/>
            <w:vAlign w:val="center"/>
          </w:tcPr>
          <w:p w:rsidR="00B54E73" w:rsidRPr="00F46DE6" w:rsidRDefault="00B54E73" w:rsidP="009378CD">
            <w:pPr>
              <w:ind w:left="-108" w:right="-108"/>
              <w:jc w:val="center"/>
              <w:rPr>
                <w:b/>
                <w:bCs/>
                <w:sz w:val="20"/>
                <w:szCs w:val="20"/>
              </w:rPr>
            </w:pPr>
            <w:r w:rsidRPr="00F46DE6">
              <w:rPr>
                <w:b/>
                <w:bCs/>
                <w:sz w:val="20"/>
                <w:szCs w:val="20"/>
              </w:rPr>
              <w:t>Délai de Réalisation</w:t>
            </w:r>
          </w:p>
        </w:tc>
        <w:tc>
          <w:tcPr>
            <w:tcW w:w="1607" w:type="dxa"/>
            <w:shd w:val="clear" w:color="auto" w:fill="E6E6E6"/>
            <w:vAlign w:val="center"/>
          </w:tcPr>
          <w:p w:rsidR="00B54E73" w:rsidRPr="00F46DE6" w:rsidRDefault="00B54E73" w:rsidP="009378CD">
            <w:pPr>
              <w:ind w:left="-108" w:right="-108"/>
              <w:jc w:val="center"/>
              <w:rPr>
                <w:b/>
                <w:bCs/>
                <w:sz w:val="20"/>
                <w:szCs w:val="20"/>
              </w:rPr>
            </w:pPr>
            <w:r w:rsidRPr="00F46DE6">
              <w:rPr>
                <w:b/>
                <w:bCs/>
                <w:sz w:val="20"/>
                <w:szCs w:val="20"/>
              </w:rPr>
              <w:t>OBSERVATIONS</w:t>
            </w:r>
          </w:p>
        </w:tc>
      </w:tr>
      <w:tr w:rsidR="00B54E73" w:rsidRPr="00F46DE6" w:rsidTr="00B54E73">
        <w:trPr>
          <w:trHeight w:val="231"/>
        </w:trPr>
        <w:tc>
          <w:tcPr>
            <w:tcW w:w="459" w:type="dxa"/>
            <w:vAlign w:val="center"/>
          </w:tcPr>
          <w:p w:rsidR="00B54E73" w:rsidRPr="00F46DE6" w:rsidRDefault="00B54E73" w:rsidP="009378CD">
            <w:pPr>
              <w:spacing w:before="120" w:after="120"/>
              <w:ind w:left="-108" w:right="-75"/>
              <w:jc w:val="center"/>
            </w:pPr>
            <w:r w:rsidRPr="00F46DE6">
              <w:t>01</w:t>
            </w:r>
          </w:p>
        </w:tc>
        <w:tc>
          <w:tcPr>
            <w:tcW w:w="2376" w:type="dxa"/>
          </w:tcPr>
          <w:p w:rsidR="00B54E73" w:rsidRPr="00F46DE6" w:rsidRDefault="00B54E73" w:rsidP="009378CD">
            <w:pPr>
              <w:spacing w:before="120" w:after="120"/>
            </w:pPr>
            <w:r w:rsidRPr="00F46DE6">
              <w:t>SENOUCI KHALED</w:t>
            </w:r>
          </w:p>
        </w:tc>
        <w:tc>
          <w:tcPr>
            <w:tcW w:w="2031" w:type="dxa"/>
            <w:vAlign w:val="center"/>
          </w:tcPr>
          <w:p w:rsidR="00B54E73" w:rsidRPr="00F46DE6" w:rsidRDefault="00B54E73" w:rsidP="009378CD">
            <w:pPr>
              <w:jc w:val="center"/>
            </w:pPr>
            <w:r w:rsidRPr="00F46DE6">
              <w:t>55.00</w:t>
            </w:r>
          </w:p>
        </w:tc>
        <w:tc>
          <w:tcPr>
            <w:tcW w:w="2032" w:type="dxa"/>
          </w:tcPr>
          <w:p w:rsidR="00B54E73" w:rsidRPr="00F46DE6" w:rsidRDefault="00B54E73" w:rsidP="009378CD">
            <w:pPr>
              <w:spacing w:before="120" w:after="120"/>
              <w:ind w:left="-108" w:right="-108"/>
              <w:jc w:val="center"/>
            </w:pPr>
            <w:r>
              <w:t>34</w:t>
            </w:r>
            <w:r w:rsidRPr="00F46DE6">
              <w:t>,</w:t>
            </w:r>
            <w:r>
              <w:t>06</w:t>
            </w:r>
          </w:p>
        </w:tc>
        <w:tc>
          <w:tcPr>
            <w:tcW w:w="2032" w:type="dxa"/>
            <w:vAlign w:val="center"/>
          </w:tcPr>
          <w:p w:rsidR="00B54E73" w:rsidRPr="00F46DE6" w:rsidRDefault="00B54E73" w:rsidP="009378CD">
            <w:pPr>
              <w:jc w:val="center"/>
              <w:rPr>
                <w:bCs/>
              </w:rPr>
            </w:pPr>
            <w:r w:rsidRPr="00F46DE6">
              <w:rPr>
                <w:bCs/>
              </w:rPr>
              <w:t>1 270 400,00</w:t>
            </w:r>
          </w:p>
        </w:tc>
        <w:tc>
          <w:tcPr>
            <w:tcW w:w="2032" w:type="dxa"/>
            <w:vAlign w:val="center"/>
          </w:tcPr>
          <w:p w:rsidR="00B54E73" w:rsidRPr="00F46DE6" w:rsidRDefault="00B54E73" w:rsidP="009378CD">
            <w:pPr>
              <w:ind w:left="-108" w:right="-108"/>
              <w:jc w:val="center"/>
            </w:pPr>
            <w:r>
              <w:t>1 360 850,00</w:t>
            </w:r>
          </w:p>
        </w:tc>
        <w:tc>
          <w:tcPr>
            <w:tcW w:w="2032" w:type="dxa"/>
            <w:vAlign w:val="center"/>
          </w:tcPr>
          <w:p w:rsidR="00B54E73" w:rsidRPr="00F46DE6" w:rsidRDefault="00B54E73" w:rsidP="009378CD">
            <w:pPr>
              <w:ind w:left="-108" w:right="-108"/>
              <w:jc w:val="center"/>
            </w:pPr>
            <w:r w:rsidRPr="00F46DE6">
              <w:t>10 jours</w:t>
            </w:r>
          </w:p>
        </w:tc>
        <w:tc>
          <w:tcPr>
            <w:tcW w:w="1607" w:type="dxa"/>
            <w:vAlign w:val="center"/>
          </w:tcPr>
          <w:p w:rsidR="00B54E73" w:rsidRPr="00F46DE6" w:rsidRDefault="00B54E73" w:rsidP="009378CD">
            <w:pPr>
              <w:jc w:val="center"/>
            </w:pPr>
            <w:r w:rsidRPr="00F46DE6">
              <w:t>Meilleure offre</w:t>
            </w:r>
          </w:p>
        </w:tc>
      </w:tr>
      <w:tr w:rsidR="00B54E73" w:rsidRPr="00F46DE6" w:rsidTr="00B54E73">
        <w:tc>
          <w:tcPr>
            <w:tcW w:w="459" w:type="dxa"/>
            <w:vAlign w:val="center"/>
          </w:tcPr>
          <w:p w:rsidR="00B54E73" w:rsidRPr="00F46DE6" w:rsidRDefault="00B54E73" w:rsidP="009378CD">
            <w:pPr>
              <w:spacing w:before="120" w:after="120"/>
              <w:ind w:left="-108" w:right="-75"/>
              <w:jc w:val="center"/>
            </w:pPr>
            <w:r w:rsidRPr="00F46DE6">
              <w:t>02</w:t>
            </w:r>
          </w:p>
        </w:tc>
        <w:tc>
          <w:tcPr>
            <w:tcW w:w="2376" w:type="dxa"/>
          </w:tcPr>
          <w:p w:rsidR="00B54E73" w:rsidRPr="00F46DE6" w:rsidRDefault="00B54E73" w:rsidP="009378CD">
            <w:pPr>
              <w:spacing w:before="120" w:after="120"/>
            </w:pPr>
            <w:r w:rsidRPr="00F46DE6">
              <w:t>HAMIDI MOULEY TAYAB</w:t>
            </w:r>
          </w:p>
        </w:tc>
        <w:tc>
          <w:tcPr>
            <w:tcW w:w="2031" w:type="dxa"/>
            <w:vAlign w:val="center"/>
          </w:tcPr>
          <w:p w:rsidR="00B54E73" w:rsidRPr="00F46DE6" w:rsidRDefault="00B54E73" w:rsidP="009378CD">
            <w:pPr>
              <w:jc w:val="center"/>
            </w:pPr>
            <w:r w:rsidRPr="00F46DE6">
              <w:t>25</w:t>
            </w:r>
          </w:p>
        </w:tc>
        <w:tc>
          <w:tcPr>
            <w:tcW w:w="2032" w:type="dxa"/>
          </w:tcPr>
          <w:p w:rsidR="00B54E73" w:rsidRPr="00F46DE6" w:rsidRDefault="00B54E73" w:rsidP="009378CD">
            <w:pPr>
              <w:spacing w:before="120" w:after="120"/>
              <w:ind w:left="-108" w:right="-108"/>
              <w:jc w:val="center"/>
            </w:pPr>
            <w:r w:rsidRPr="00F46DE6">
              <w:t>40</w:t>
            </w:r>
          </w:p>
        </w:tc>
        <w:tc>
          <w:tcPr>
            <w:tcW w:w="2032" w:type="dxa"/>
            <w:vAlign w:val="center"/>
          </w:tcPr>
          <w:p w:rsidR="00B54E73" w:rsidRPr="00F46DE6" w:rsidRDefault="00B54E73" w:rsidP="009378CD">
            <w:pPr>
              <w:jc w:val="center"/>
              <w:rPr>
                <w:bCs/>
              </w:rPr>
            </w:pPr>
            <w:r w:rsidRPr="00F46DE6">
              <w:rPr>
                <w:bCs/>
              </w:rPr>
              <w:t>369 904,86</w:t>
            </w:r>
          </w:p>
        </w:tc>
        <w:tc>
          <w:tcPr>
            <w:tcW w:w="2032" w:type="dxa"/>
            <w:vAlign w:val="center"/>
          </w:tcPr>
          <w:p w:rsidR="00B54E73" w:rsidRPr="00F46DE6" w:rsidRDefault="00B54E73" w:rsidP="009378CD">
            <w:pPr>
              <w:jc w:val="center"/>
            </w:pPr>
            <w:r w:rsidRPr="00F46DE6">
              <w:t>/</w:t>
            </w:r>
          </w:p>
        </w:tc>
        <w:tc>
          <w:tcPr>
            <w:tcW w:w="2032" w:type="dxa"/>
            <w:vAlign w:val="center"/>
          </w:tcPr>
          <w:p w:rsidR="00B54E73" w:rsidRPr="00F46DE6" w:rsidRDefault="00B54E73" w:rsidP="009378CD">
            <w:pPr>
              <w:jc w:val="center"/>
            </w:pPr>
            <w:r w:rsidRPr="00F46DE6">
              <w:t>36 heurs</w:t>
            </w:r>
          </w:p>
        </w:tc>
        <w:tc>
          <w:tcPr>
            <w:tcW w:w="1607" w:type="dxa"/>
            <w:vAlign w:val="center"/>
          </w:tcPr>
          <w:p w:rsidR="00B54E73" w:rsidRPr="00F46DE6" w:rsidRDefault="00B54E73" w:rsidP="009378CD">
            <w:pPr>
              <w:jc w:val="center"/>
            </w:pPr>
            <w:r w:rsidRPr="00F46DE6">
              <w:t>Meilleure offre</w:t>
            </w:r>
          </w:p>
        </w:tc>
      </w:tr>
      <w:tr w:rsidR="00B54E73" w:rsidRPr="00F46DE6" w:rsidTr="00B54E73">
        <w:tc>
          <w:tcPr>
            <w:tcW w:w="459" w:type="dxa"/>
            <w:vAlign w:val="center"/>
          </w:tcPr>
          <w:p w:rsidR="00B54E73" w:rsidRPr="00F46DE6" w:rsidRDefault="00B54E73" w:rsidP="009378CD">
            <w:pPr>
              <w:spacing w:before="120" w:after="120"/>
              <w:ind w:left="-108" w:right="-75"/>
              <w:jc w:val="center"/>
            </w:pPr>
            <w:r w:rsidRPr="00F46DE6">
              <w:t>03</w:t>
            </w:r>
          </w:p>
        </w:tc>
        <w:tc>
          <w:tcPr>
            <w:tcW w:w="2376" w:type="dxa"/>
          </w:tcPr>
          <w:p w:rsidR="00B54E73" w:rsidRPr="00F46DE6" w:rsidRDefault="00B54E73" w:rsidP="009378CD">
            <w:pPr>
              <w:spacing w:before="120" w:after="120"/>
            </w:pPr>
            <w:r w:rsidRPr="00F46DE6">
              <w:t>SENOUCI KHALED</w:t>
            </w:r>
          </w:p>
        </w:tc>
        <w:tc>
          <w:tcPr>
            <w:tcW w:w="2031" w:type="dxa"/>
            <w:vAlign w:val="center"/>
          </w:tcPr>
          <w:p w:rsidR="00B54E73" w:rsidRPr="00F46DE6" w:rsidRDefault="00B54E73" w:rsidP="009378CD">
            <w:pPr>
              <w:jc w:val="center"/>
            </w:pPr>
            <w:r w:rsidRPr="00F46DE6">
              <w:t>25</w:t>
            </w:r>
          </w:p>
        </w:tc>
        <w:tc>
          <w:tcPr>
            <w:tcW w:w="2032" w:type="dxa"/>
          </w:tcPr>
          <w:p w:rsidR="00B54E73" w:rsidRPr="00F46DE6" w:rsidRDefault="00B54E73" w:rsidP="009378CD">
            <w:pPr>
              <w:spacing w:before="120" w:after="120"/>
              <w:ind w:left="-108" w:right="-108"/>
              <w:jc w:val="center"/>
            </w:pPr>
            <w:r w:rsidRPr="00F46DE6">
              <w:t>40</w:t>
            </w:r>
          </w:p>
        </w:tc>
        <w:tc>
          <w:tcPr>
            <w:tcW w:w="2032" w:type="dxa"/>
            <w:vAlign w:val="center"/>
          </w:tcPr>
          <w:p w:rsidR="00B54E73" w:rsidRPr="00F46DE6" w:rsidRDefault="00B54E73" w:rsidP="009378CD">
            <w:pPr>
              <w:jc w:val="center"/>
              <w:rPr>
                <w:bCs/>
              </w:rPr>
            </w:pPr>
            <w:r w:rsidRPr="00F46DE6">
              <w:rPr>
                <w:bCs/>
              </w:rPr>
              <w:t>36 000,00</w:t>
            </w:r>
          </w:p>
        </w:tc>
        <w:tc>
          <w:tcPr>
            <w:tcW w:w="2032" w:type="dxa"/>
            <w:vAlign w:val="center"/>
          </w:tcPr>
          <w:p w:rsidR="00B54E73" w:rsidRPr="00F46DE6" w:rsidRDefault="00B54E73" w:rsidP="009378CD">
            <w:pPr>
              <w:jc w:val="center"/>
            </w:pPr>
            <w:r w:rsidRPr="00F46DE6">
              <w:t>/</w:t>
            </w:r>
          </w:p>
        </w:tc>
        <w:tc>
          <w:tcPr>
            <w:tcW w:w="2032" w:type="dxa"/>
            <w:vAlign w:val="center"/>
          </w:tcPr>
          <w:p w:rsidR="00B54E73" w:rsidRPr="00F46DE6" w:rsidRDefault="00B54E73" w:rsidP="009378CD">
            <w:pPr>
              <w:jc w:val="center"/>
            </w:pPr>
            <w:r w:rsidRPr="00F46DE6">
              <w:t>10 jours</w:t>
            </w:r>
          </w:p>
        </w:tc>
        <w:tc>
          <w:tcPr>
            <w:tcW w:w="1607" w:type="dxa"/>
            <w:vAlign w:val="center"/>
          </w:tcPr>
          <w:p w:rsidR="00B54E73" w:rsidRPr="00F46DE6" w:rsidRDefault="00B54E73" w:rsidP="009378CD">
            <w:pPr>
              <w:jc w:val="center"/>
            </w:pPr>
            <w:r w:rsidRPr="00F46DE6">
              <w:t>Meilleure offre</w:t>
            </w:r>
          </w:p>
        </w:tc>
      </w:tr>
    </w:tbl>
    <w:p w:rsidR="00B54E73" w:rsidRPr="00F46DE6" w:rsidRDefault="00B54E73" w:rsidP="00B54E73">
      <w:pPr>
        <w:ind w:right="-597"/>
        <w:jc w:val="both"/>
      </w:pPr>
      <w:r w:rsidRPr="00F46DE6">
        <w:t xml:space="preserve">Tout soumissionnaire contestant le choix  opéré par le service contractant peut introduire un recours  dans un délai de  dix (10) jours à compter de la date de publication de cet  avis d’attribution provisoire, auprès de l’autorité compétente conformément à l’article 82 du code des marchés publics.  </w:t>
      </w:r>
    </w:p>
    <w:p w:rsidR="00B54E73" w:rsidRPr="00F46DE6" w:rsidRDefault="00B54E73" w:rsidP="00B54E73">
      <w:pPr>
        <w:ind w:right="-597"/>
        <w:jc w:val="both"/>
      </w:pPr>
    </w:p>
    <w:p w:rsidR="00B54E73" w:rsidRPr="00F46DE6" w:rsidRDefault="00B54E73" w:rsidP="00B54E73">
      <w:pPr>
        <w:jc w:val="both"/>
      </w:pPr>
    </w:p>
    <w:p w:rsidR="00B54E73" w:rsidRPr="00F46DE6" w:rsidRDefault="00B54E73" w:rsidP="00B54E73">
      <w:pPr>
        <w:bidi/>
        <w:jc w:val="right"/>
      </w:pPr>
      <w:r w:rsidRPr="00F46DE6">
        <w:rPr>
          <w:b/>
          <w:bCs/>
        </w:rPr>
        <w:t xml:space="preserve">                                                                                                                                             Fait à Tiaret, le </w:t>
      </w:r>
      <w:r>
        <w:rPr>
          <w:b/>
          <w:bCs/>
        </w:rPr>
        <w:t>31</w:t>
      </w:r>
      <w:r w:rsidRPr="00F46DE6">
        <w:rPr>
          <w:b/>
          <w:bCs/>
        </w:rPr>
        <w:t>-05-2016.</w:t>
      </w:r>
    </w:p>
    <w:p w:rsidR="00A540F3" w:rsidRDefault="00B54E73" w:rsidP="00B54E73">
      <w:pPr>
        <w:bidi/>
        <w:jc w:val="right"/>
      </w:pPr>
      <w:r w:rsidRPr="00F46DE6">
        <w:t xml:space="preserve">                                                                                                                                          </w:t>
      </w:r>
      <w:r>
        <w:t xml:space="preserve">  </w:t>
      </w:r>
      <w:r w:rsidRPr="00F46DE6">
        <w:t xml:space="preserve">   Le Doyen de la Faculté</w:t>
      </w:r>
    </w:p>
    <w:sectPr w:rsidR="00A540F3" w:rsidSect="00B54E73">
      <w:pgSz w:w="16838" w:h="11906" w:orient="landscape"/>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characterSpacingControl w:val="doNotCompress"/>
  <w:compat/>
  <w:rsids>
    <w:rsidRoot w:val="00B54E73"/>
    <w:rsid w:val="00161FA3"/>
    <w:rsid w:val="001A36B5"/>
    <w:rsid w:val="00205C1D"/>
    <w:rsid w:val="00283DC4"/>
    <w:rsid w:val="00356437"/>
    <w:rsid w:val="004479C1"/>
    <w:rsid w:val="00460FE1"/>
    <w:rsid w:val="00583593"/>
    <w:rsid w:val="007C7B72"/>
    <w:rsid w:val="009378CD"/>
    <w:rsid w:val="00976C2B"/>
    <w:rsid w:val="00A540F3"/>
    <w:rsid w:val="00A7182A"/>
    <w:rsid w:val="00A90FF2"/>
    <w:rsid w:val="00B54E73"/>
    <w:rsid w:val="00CA100D"/>
    <w:rsid w:val="00CA2FFA"/>
    <w:rsid w:val="00D070CF"/>
    <w:rsid w:val="00D37708"/>
    <w:rsid w:val="00EA48FD"/>
    <w:rsid w:val="00EB500D"/>
    <w:rsid w:val="00F52CE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E73"/>
    <w:rPr>
      <w:rFonts w:ascii="Times New Roman" w:eastAsia="Times New Roman" w:hAnsi="Times New Roman" w:cs="Times New Roman"/>
      <w:sz w:val="24"/>
      <w:szCs w:val="24"/>
    </w:rPr>
  </w:style>
  <w:style w:type="paragraph" w:styleId="Titre1">
    <w:name w:val="heading 1"/>
    <w:basedOn w:val="Normal"/>
    <w:next w:val="Normal"/>
    <w:link w:val="Titre1Car"/>
    <w:qFormat/>
    <w:rsid w:val="00161FA3"/>
    <w:pPr>
      <w:keepNext/>
      <w:jc w:val="center"/>
      <w:outlineLvl w:val="0"/>
    </w:pPr>
    <w:rPr>
      <w:rFonts w:ascii="Bookman Old Style" w:hAnsi="Bookman Old Style"/>
      <w:b/>
      <w:bC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61FA3"/>
    <w:rPr>
      <w:rFonts w:ascii="Bookman Old Style" w:eastAsia="Times New Roman" w:hAnsi="Bookman Old Style" w:cs="Times New Roman"/>
      <w:b/>
      <w:bCs/>
      <w:sz w:val="28"/>
      <w:szCs w:val="28"/>
      <w:u w:val="single"/>
      <w:lang w:eastAsia="fr-FR"/>
    </w:rPr>
  </w:style>
  <w:style w:type="paragraph" w:styleId="Paragraphedeliste">
    <w:name w:val="List Paragraph"/>
    <w:basedOn w:val="Normal"/>
    <w:uiPriority w:val="34"/>
    <w:qFormat/>
    <w:rsid w:val="00161F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1603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SPecialiST RePack</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universiti tiart</dc:creator>
  <cp:lastModifiedBy>omega</cp:lastModifiedBy>
  <cp:revision>2</cp:revision>
  <cp:lastPrinted>2016-05-31T11:02:00Z</cp:lastPrinted>
  <dcterms:created xsi:type="dcterms:W3CDTF">2016-06-02T08:33:00Z</dcterms:created>
  <dcterms:modified xsi:type="dcterms:W3CDTF">2016-06-02T08:33:00Z</dcterms:modified>
</cp:coreProperties>
</file>